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FDA2" w14:textId="6F0448E6" w:rsidR="00D07C27" w:rsidRPr="00D57B30" w:rsidRDefault="00D57B30" w:rsidP="008246F4">
      <w:pPr>
        <w:pStyle w:val="Heading1"/>
        <w:ind w:right="545"/>
        <w:rPr>
          <w:color w:val="1F4E79" w:themeColor="accent1" w:themeShade="80"/>
        </w:rPr>
      </w:pPr>
      <w:r w:rsidRPr="00D57B30">
        <w:rPr>
          <w:color w:val="1F4E79" w:themeColor="accent1" w:themeShade="80"/>
        </w:rPr>
        <w:t>Agenda Item</w:t>
      </w:r>
      <w:r w:rsidR="007B5468">
        <w:rPr>
          <w:color w:val="1F4E79" w:themeColor="accent1" w:themeShade="80"/>
        </w:rPr>
        <w:t xml:space="preserve"> 11</w:t>
      </w:r>
      <w:bookmarkStart w:id="0" w:name="_GoBack"/>
      <w:bookmarkEnd w:id="0"/>
      <w:r w:rsidR="00EF5A3C">
        <w:rPr>
          <w:color w:val="1F4E79" w:themeColor="accent1" w:themeShade="80"/>
        </w:rPr>
        <w:t xml:space="preserve">:  </w:t>
      </w:r>
      <w:r w:rsidR="00A13403">
        <w:rPr>
          <w:color w:val="1F4E79" w:themeColor="accent1" w:themeShade="80"/>
        </w:rPr>
        <w:t xml:space="preserve">Meeting with </w:t>
      </w:r>
      <w:r w:rsidR="002A35B2">
        <w:rPr>
          <w:color w:val="1F4E79" w:themeColor="accent1" w:themeShade="80"/>
        </w:rPr>
        <w:t>Generic Name Supporting Organisation (GNSO</w:t>
      </w:r>
      <w:r w:rsidR="008F3B68">
        <w:rPr>
          <w:color w:val="1F4E79" w:themeColor="accent1" w:themeShade="80"/>
        </w:rPr>
        <w:t xml:space="preserve">) </w:t>
      </w:r>
    </w:p>
    <w:p w14:paraId="1202E295" w14:textId="77777777" w:rsidR="00F21D6A" w:rsidRPr="00D57B30" w:rsidRDefault="00D57B30" w:rsidP="00982B73">
      <w:pPr>
        <w:pStyle w:val="Heading2"/>
      </w:pPr>
      <w:r>
        <w:t>Issues</w:t>
      </w:r>
    </w:p>
    <w:p w14:paraId="75465D53" w14:textId="62EDAA13" w:rsidR="002A35B2" w:rsidRDefault="001A7608" w:rsidP="00A13403">
      <w:pPr>
        <w:spacing w:after="200" w:line="276" w:lineRule="auto"/>
        <w:ind w:right="544"/>
        <w:contextualSpacing/>
        <w:jc w:val="both"/>
        <w:rPr>
          <w:sz w:val="20"/>
          <w:szCs w:val="20"/>
        </w:rPr>
      </w:pPr>
      <w:r w:rsidRPr="0043171A">
        <w:rPr>
          <w:sz w:val="20"/>
          <w:szCs w:val="20"/>
        </w:rPr>
        <w:t>Agendas for GAC bilateral meetings of this type tend to change up until the last minute</w:t>
      </w:r>
      <w:r>
        <w:rPr>
          <w:sz w:val="20"/>
          <w:szCs w:val="20"/>
        </w:rPr>
        <w:t xml:space="preserve"> for a range of reasons</w:t>
      </w:r>
      <w:r w:rsidRPr="0043171A">
        <w:rPr>
          <w:sz w:val="20"/>
          <w:szCs w:val="20"/>
        </w:rPr>
        <w:t>. However, the following issues are likely to be raised:</w:t>
      </w:r>
    </w:p>
    <w:p w14:paraId="21A1636A" w14:textId="304F4C1F" w:rsidR="001A63D6" w:rsidRPr="007B5468" w:rsidRDefault="001A63D6" w:rsidP="007B5468">
      <w:pPr>
        <w:pStyle w:val="ListParagraph"/>
        <w:numPr>
          <w:ilvl w:val="0"/>
          <w:numId w:val="5"/>
        </w:numPr>
        <w:spacing w:line="360" w:lineRule="auto"/>
        <w:ind w:right="544"/>
        <w:contextualSpacing/>
        <w:rPr>
          <w:szCs w:val="20"/>
        </w:rPr>
      </w:pPr>
      <w:r>
        <w:rPr>
          <w:szCs w:val="20"/>
        </w:rPr>
        <w:t>Introduction to the role of the GNSO</w:t>
      </w:r>
      <w:r w:rsidR="007B5468">
        <w:rPr>
          <w:szCs w:val="20"/>
        </w:rPr>
        <w:t xml:space="preserve"> and its Policy Development Processes (PDPs), including possible</w:t>
      </w:r>
      <w:r w:rsidR="007B5468">
        <w:rPr>
          <w:szCs w:val="20"/>
        </w:rPr>
        <w:t xml:space="preserve"> incremental improvements to how PDPs operate (“PDP 3.0”).</w:t>
      </w:r>
    </w:p>
    <w:p w14:paraId="27773071" w14:textId="664A7905" w:rsidR="002A35B2" w:rsidRDefault="001A63D6" w:rsidP="00A5021B">
      <w:pPr>
        <w:pStyle w:val="ListParagraph"/>
        <w:numPr>
          <w:ilvl w:val="0"/>
          <w:numId w:val="5"/>
        </w:numPr>
        <w:spacing w:line="360" w:lineRule="auto"/>
        <w:ind w:right="544"/>
        <w:contextualSpacing/>
        <w:rPr>
          <w:szCs w:val="20"/>
        </w:rPr>
      </w:pPr>
      <w:r>
        <w:rPr>
          <w:szCs w:val="20"/>
        </w:rPr>
        <w:t xml:space="preserve">Next steps on </w:t>
      </w:r>
      <w:r w:rsidR="00FD20E3">
        <w:rPr>
          <w:szCs w:val="20"/>
        </w:rPr>
        <w:t>the ICANN Temporary Specification for GDPR Compliance.</w:t>
      </w:r>
    </w:p>
    <w:p w14:paraId="06688F3A" w14:textId="58ABE6DB" w:rsidR="002A35B2" w:rsidRDefault="00C14EF2" w:rsidP="00A5021B">
      <w:pPr>
        <w:pStyle w:val="ListParagraph"/>
        <w:numPr>
          <w:ilvl w:val="0"/>
          <w:numId w:val="5"/>
        </w:numPr>
        <w:spacing w:line="360" w:lineRule="auto"/>
        <w:ind w:right="544"/>
        <w:contextualSpacing/>
        <w:rPr>
          <w:szCs w:val="20"/>
        </w:rPr>
      </w:pPr>
      <w:r>
        <w:rPr>
          <w:szCs w:val="20"/>
        </w:rPr>
        <w:t>GNSO PDP on New gTLD Subsequent Procedures</w:t>
      </w:r>
      <w:r w:rsidR="00FD20E3">
        <w:rPr>
          <w:szCs w:val="20"/>
        </w:rPr>
        <w:t xml:space="preserve">: </w:t>
      </w:r>
      <w:r w:rsidR="007B5468">
        <w:rPr>
          <w:szCs w:val="20"/>
        </w:rPr>
        <w:t xml:space="preserve">Progress in </w:t>
      </w:r>
      <w:r w:rsidR="00FD20E3">
        <w:rPr>
          <w:szCs w:val="20"/>
        </w:rPr>
        <w:t>Work Tracks 1-4 and Work Track 5.</w:t>
      </w:r>
    </w:p>
    <w:p w14:paraId="7A2AE7FC" w14:textId="45BCFB71" w:rsidR="00C14EF2" w:rsidRDefault="00C14EF2" w:rsidP="00C14EF2">
      <w:pPr>
        <w:pStyle w:val="Heading2"/>
      </w:pPr>
      <w:r>
        <w:t>GAC action required</w:t>
      </w:r>
    </w:p>
    <w:p w14:paraId="68CBC247" w14:textId="77777777" w:rsidR="007B5468" w:rsidRPr="007B5468" w:rsidRDefault="001A63D6" w:rsidP="001A63D6">
      <w:pPr>
        <w:pStyle w:val="ListParagraph"/>
        <w:numPr>
          <w:ilvl w:val="0"/>
          <w:numId w:val="6"/>
        </w:numPr>
        <w:spacing w:line="360" w:lineRule="auto"/>
        <w:ind w:right="544"/>
        <w:contextualSpacing/>
        <w:rPr>
          <w:b/>
          <w:color w:val="2E74B5" w:themeColor="accent1" w:themeShade="BF"/>
          <w:szCs w:val="20"/>
        </w:rPr>
      </w:pPr>
      <w:r w:rsidRPr="007B5468">
        <w:rPr>
          <w:b/>
          <w:color w:val="2E74B5" w:themeColor="accent1" w:themeShade="BF"/>
          <w:szCs w:val="20"/>
        </w:rPr>
        <w:t>Introduction t</w:t>
      </w:r>
      <w:r w:rsidR="007B5468" w:rsidRPr="007B5468">
        <w:rPr>
          <w:b/>
          <w:color w:val="2E74B5" w:themeColor="accent1" w:themeShade="BF"/>
          <w:szCs w:val="20"/>
        </w:rPr>
        <w:t>o the role of the GNSO and its PDPs</w:t>
      </w:r>
    </w:p>
    <w:p w14:paraId="5AD9238C" w14:textId="7828F646" w:rsidR="001A63D6" w:rsidRDefault="001A63D6" w:rsidP="007B5468">
      <w:pPr>
        <w:spacing w:line="360" w:lineRule="auto"/>
        <w:ind w:right="544"/>
        <w:contextualSpacing/>
        <w:rPr>
          <w:sz w:val="20"/>
          <w:szCs w:val="20"/>
        </w:rPr>
      </w:pPr>
      <w:r w:rsidRPr="007B5468">
        <w:rPr>
          <w:sz w:val="20"/>
          <w:szCs w:val="20"/>
        </w:rPr>
        <w:t xml:space="preserve">GAC members, particularly those less experienced in the ICANN multistakeholder model, may wish </w:t>
      </w:r>
      <w:r w:rsidR="007B5468" w:rsidRPr="007B5468">
        <w:rPr>
          <w:sz w:val="20"/>
          <w:szCs w:val="20"/>
        </w:rPr>
        <w:t xml:space="preserve">to </w:t>
      </w:r>
      <w:r w:rsidRPr="007B5468">
        <w:rPr>
          <w:sz w:val="20"/>
          <w:szCs w:val="20"/>
        </w:rPr>
        <w:t>note the information on its role provided by the GNSO and seek clari</w:t>
      </w:r>
      <w:r w:rsidR="007B5468" w:rsidRPr="007B5468">
        <w:rPr>
          <w:sz w:val="20"/>
          <w:szCs w:val="20"/>
        </w:rPr>
        <w:t>fication and further discussion as necessary.</w:t>
      </w:r>
    </w:p>
    <w:p w14:paraId="0BD52C20" w14:textId="77777777" w:rsidR="007B5468" w:rsidRDefault="007B5468" w:rsidP="007B5468">
      <w:pPr>
        <w:pStyle w:val="BodyText"/>
      </w:pPr>
      <w:r>
        <w:t>The GAC has recently been briefed (Attachment A) on an internal “PDP 3.0” discussion paper aimed at improving the efficiency and effectiveness of GNSO PDP Working Groups</w:t>
      </w:r>
      <w:proofErr w:type="gramStart"/>
      <w:r>
        <w:t>. .</w:t>
      </w:r>
      <w:proofErr w:type="gramEnd"/>
      <w:r>
        <w:t xml:space="preserve"> The GNSO Liaison to the GAC has confirmed that GAC feedback on this would be welcome.</w:t>
      </w:r>
    </w:p>
    <w:p w14:paraId="0C0A8A04" w14:textId="77777777" w:rsidR="007B5468" w:rsidRDefault="007B5468" w:rsidP="007B5468">
      <w:pPr>
        <w:pStyle w:val="BodyText"/>
      </w:pPr>
      <w:r>
        <w:t>The GAC may wish to seek GNSO Council member views on the following:</w:t>
      </w:r>
    </w:p>
    <w:p w14:paraId="0B5D6C63" w14:textId="77777777" w:rsidR="007B5468" w:rsidRDefault="007B5468" w:rsidP="007B5468">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Given interdependencies across ICANN work, it would be helpful for discussion of the issues raised in the paper to be open to all community members.</w:t>
      </w:r>
    </w:p>
    <w:p w14:paraId="1A13B688" w14:textId="77777777" w:rsidR="007B5468" w:rsidRDefault="007B5468" w:rsidP="007B5468">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Organising PDP Working Groups on the CCWG model, with designated members from relevant SOs/ACs and others participating as individuals (Recommendation 2), would encourage: (a) improved accountability, efficiency and transparency; (b) a genuine community-wide perspective within PDPs; and (c) better and more informed GAC engagement with PDPs.</w:t>
      </w:r>
    </w:p>
    <w:p w14:paraId="014E4B76" w14:textId="77777777" w:rsidR="007B5468" w:rsidRDefault="007B5468" w:rsidP="007B5468">
      <w:pPr>
        <w:pStyle w:val="ListParagraph"/>
        <w:widowControl w:val="0"/>
        <w:numPr>
          <w:ilvl w:val="0"/>
          <w:numId w:val="9"/>
        </w:numPr>
        <w:autoSpaceDE w:val="0"/>
        <w:autoSpaceDN w:val="0"/>
        <w:adjustRightInd w:val="0"/>
        <w:ind w:right="545"/>
        <w:rPr>
          <w:rFonts w:cs="Century Gothic"/>
          <w:szCs w:val="20"/>
          <w:lang w:eastAsia="en-AU"/>
        </w:rPr>
      </w:pPr>
      <w:r>
        <w:rPr>
          <w:rFonts w:cs="Century Gothic"/>
          <w:szCs w:val="20"/>
          <w:lang w:eastAsia="en-AU"/>
        </w:rPr>
        <w:t>In fact, some GAC members see this Recommendation as a precondition for meeting many of the other challenges noted (quality of discussion, consensus-building) as it would allow a group to gauge the level of support for particular positions in the wider community as opposed to those who turn up to a call.</w:t>
      </w:r>
    </w:p>
    <w:p w14:paraId="1AC2A376" w14:textId="6C2E154E" w:rsidR="007B5468" w:rsidRDefault="007B5468" w:rsidP="007B5468">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The measures proposed in the paper for better training of, and resources for, WG leaders and participants are helpful and sensible, and could build on the very good support already provided by GNSO staff.</w:t>
      </w:r>
    </w:p>
    <w:p w14:paraId="3EF4507D" w14:textId="35E4DF78" w:rsidR="007B5468" w:rsidRDefault="007B5468" w:rsidP="007B5468">
      <w:pPr>
        <w:widowControl w:val="0"/>
        <w:autoSpaceDE w:val="0"/>
        <w:autoSpaceDN w:val="0"/>
        <w:adjustRightInd w:val="0"/>
        <w:ind w:right="545"/>
        <w:rPr>
          <w:rFonts w:cs="Century Gothic"/>
          <w:szCs w:val="20"/>
          <w:lang w:eastAsia="en-AU"/>
        </w:rPr>
      </w:pPr>
    </w:p>
    <w:p w14:paraId="285DBEF5" w14:textId="2F7397F8" w:rsidR="007B5468" w:rsidRDefault="007B5468" w:rsidP="007B5468">
      <w:pPr>
        <w:widowControl w:val="0"/>
        <w:autoSpaceDE w:val="0"/>
        <w:autoSpaceDN w:val="0"/>
        <w:adjustRightInd w:val="0"/>
        <w:ind w:right="545"/>
        <w:rPr>
          <w:rFonts w:cs="Century Gothic"/>
          <w:szCs w:val="20"/>
          <w:lang w:eastAsia="en-AU"/>
        </w:rPr>
      </w:pPr>
    </w:p>
    <w:p w14:paraId="0099CC34" w14:textId="77777777" w:rsidR="007B5468" w:rsidRPr="007B5468" w:rsidRDefault="007B5468" w:rsidP="007B5468">
      <w:pPr>
        <w:widowControl w:val="0"/>
        <w:autoSpaceDE w:val="0"/>
        <w:autoSpaceDN w:val="0"/>
        <w:adjustRightInd w:val="0"/>
        <w:ind w:right="545"/>
        <w:rPr>
          <w:rFonts w:cs="Century Gothic"/>
          <w:szCs w:val="20"/>
          <w:lang w:eastAsia="en-AU"/>
        </w:rPr>
      </w:pPr>
    </w:p>
    <w:p w14:paraId="4B67EEEB" w14:textId="6A5341D9" w:rsidR="00C14EF2" w:rsidRPr="007B5468" w:rsidRDefault="001A63D6" w:rsidP="001A63D6">
      <w:pPr>
        <w:pStyle w:val="ListParagraph"/>
        <w:numPr>
          <w:ilvl w:val="0"/>
          <w:numId w:val="6"/>
        </w:numPr>
        <w:spacing w:line="360" w:lineRule="auto"/>
        <w:ind w:right="544"/>
        <w:contextualSpacing/>
        <w:rPr>
          <w:b/>
          <w:color w:val="2E74B5" w:themeColor="accent1" w:themeShade="BF"/>
          <w:szCs w:val="20"/>
        </w:rPr>
      </w:pPr>
      <w:r w:rsidRPr="007B5468">
        <w:rPr>
          <w:b/>
          <w:color w:val="2E74B5" w:themeColor="accent1" w:themeShade="BF"/>
          <w:szCs w:val="20"/>
        </w:rPr>
        <w:lastRenderedPageBreak/>
        <w:t>Next steps on the ICANN Temporary Specification for GDPR Compliance.</w:t>
      </w:r>
    </w:p>
    <w:p w14:paraId="1CF693AB" w14:textId="15DA5D6D" w:rsidR="00E366DB" w:rsidRDefault="001A63D6" w:rsidP="00E366DB">
      <w:pPr>
        <w:pStyle w:val="BodyText"/>
      </w:pPr>
      <w:r>
        <w:t xml:space="preserve">The GNSO Council is considering options to </w:t>
      </w:r>
      <w:r w:rsidR="005736A1">
        <w:t xml:space="preserve">provide a longer-term policy framework for the issues covered by the ICANN </w:t>
      </w:r>
      <w:hyperlink r:id="rId8" w:history="1">
        <w:r w:rsidR="005736A1" w:rsidRPr="005736A1">
          <w:rPr>
            <w:rStyle w:val="Hyperlink"/>
          </w:rPr>
          <w:t>Temporary Specification for gTLD Registration Data</w:t>
        </w:r>
      </w:hyperlink>
      <w:r w:rsidR="005736A1">
        <w:t xml:space="preserve">. </w:t>
      </w:r>
      <w:r>
        <w:t xml:space="preserve">The most likely option is an Expedited Policy Development Process (EPDP). </w:t>
      </w:r>
      <w:r w:rsidR="005736A1">
        <w:t xml:space="preserve">This is supported by the ICANN Board as the appropriate policy process under ICANN Bylaws. </w:t>
      </w:r>
      <w:r w:rsidR="00E366DB">
        <w:t>At t</w:t>
      </w:r>
      <w:r w:rsidR="005736A1">
        <w:t xml:space="preserve">he time of preparing </w:t>
      </w:r>
      <w:r w:rsidR="005E361F">
        <w:t>this</w:t>
      </w:r>
      <w:r w:rsidR="005736A1">
        <w:t xml:space="preserve"> brief, the GNSO had </w:t>
      </w:r>
      <w:r>
        <w:t>not formally initiated the EPDP, nor determined if and how other SOs/ACs might participate.</w:t>
      </w:r>
    </w:p>
    <w:p w14:paraId="228B1A72" w14:textId="5AFB17C3" w:rsidR="005E361F" w:rsidRDefault="005736A1" w:rsidP="005E361F">
      <w:pPr>
        <w:pStyle w:val="BodyText"/>
      </w:pPr>
      <w:r>
        <w:t xml:space="preserve">This </w:t>
      </w:r>
      <w:r w:rsidR="00466EC1">
        <w:t xml:space="preserve">information </w:t>
      </w:r>
      <w:r>
        <w:t>will b</w:t>
      </w:r>
      <w:r w:rsidR="00A87101">
        <w:t>e updated closer to the meeting, as it is subject to continuing discussions among a range of parties.</w:t>
      </w:r>
    </w:p>
    <w:p w14:paraId="6E57DFC5" w14:textId="6022CBA8" w:rsidR="00C14EF2" w:rsidRPr="00984595" w:rsidRDefault="005736A1" w:rsidP="00A5021B">
      <w:pPr>
        <w:pStyle w:val="BodyText"/>
        <w:numPr>
          <w:ilvl w:val="0"/>
          <w:numId w:val="6"/>
        </w:numPr>
        <w:rPr>
          <w:b/>
          <w:color w:val="2E74B5" w:themeColor="accent1" w:themeShade="BF"/>
        </w:rPr>
      </w:pPr>
      <w:r w:rsidRPr="00984595">
        <w:rPr>
          <w:b/>
          <w:color w:val="2E74B5" w:themeColor="accent1" w:themeShade="BF"/>
        </w:rPr>
        <w:t xml:space="preserve">GNSO PDP on New gTLD Subsequent Procedures: </w:t>
      </w:r>
      <w:r w:rsidR="007B5468">
        <w:rPr>
          <w:b/>
          <w:color w:val="2E74B5" w:themeColor="accent1" w:themeShade="BF"/>
        </w:rPr>
        <w:t xml:space="preserve">Progress in </w:t>
      </w:r>
      <w:r w:rsidRPr="00984595">
        <w:rPr>
          <w:b/>
          <w:color w:val="2E74B5" w:themeColor="accent1" w:themeShade="BF"/>
        </w:rPr>
        <w:t>Work Tracks 1-4 and Work Track 5.</w:t>
      </w:r>
    </w:p>
    <w:p w14:paraId="3A35C85C" w14:textId="5C480061" w:rsidR="00593EF7" w:rsidRDefault="00593EF7" w:rsidP="00593EF7">
      <w:pPr>
        <w:pStyle w:val="BodyText"/>
      </w:pPr>
      <w:r>
        <w:t>See separ</w:t>
      </w:r>
      <w:r w:rsidR="001A63D6">
        <w:t>ate briefing for Agenda Item 6.</w:t>
      </w:r>
    </w:p>
    <w:p w14:paraId="1F417124" w14:textId="37AFFC41" w:rsidR="005E361F" w:rsidRDefault="005E361F" w:rsidP="005E361F">
      <w:pPr>
        <w:pStyle w:val="BodyText"/>
      </w:pPr>
      <w:r>
        <w:t>The GAC may wish to ask GNSO Council members:</w:t>
      </w:r>
    </w:p>
    <w:p w14:paraId="2C9E41F4" w14:textId="0A8D93D4" w:rsidR="005E361F" w:rsidRDefault="005E361F" w:rsidP="00A5021B">
      <w:pPr>
        <w:pStyle w:val="BodyText"/>
        <w:numPr>
          <w:ilvl w:val="0"/>
          <w:numId w:val="7"/>
        </w:numPr>
      </w:pPr>
      <w:r>
        <w:t>Do they have a view on any link between the timelines for this PDP and ICANN initiating a new gTLD round?</w:t>
      </w:r>
    </w:p>
    <w:p w14:paraId="1105D40B" w14:textId="12537CF7" w:rsidR="00593EF7" w:rsidRPr="00593EF7" w:rsidRDefault="005E361F" w:rsidP="00A5021B">
      <w:pPr>
        <w:pStyle w:val="BodyText"/>
        <w:numPr>
          <w:ilvl w:val="0"/>
          <w:numId w:val="7"/>
        </w:numPr>
      </w:pPr>
      <w:r>
        <w:t>Could Work Track 5 (Geographic Names) holding its working sessions as open cross-community sessions at this ICANN meeting be seen as a test of this format for future meetings?</w:t>
      </w:r>
    </w:p>
    <w:p w14:paraId="10D6AD3B" w14:textId="70DA2836" w:rsidR="00406CEE" w:rsidRPr="00984595" w:rsidRDefault="00C14EF2" w:rsidP="00982B73">
      <w:pPr>
        <w:pStyle w:val="Heading2"/>
        <w:rPr>
          <w:sz w:val="20"/>
          <w:szCs w:val="20"/>
        </w:rPr>
      </w:pPr>
      <w:r w:rsidRPr="00984595">
        <w:rPr>
          <w:sz w:val="20"/>
          <w:szCs w:val="20"/>
        </w:rPr>
        <w:t>Current Position</w:t>
      </w:r>
    </w:p>
    <w:p w14:paraId="31452662" w14:textId="6DCB7F6F" w:rsidR="00982B73" w:rsidRDefault="00982B73" w:rsidP="00982B73">
      <w:pPr>
        <w:pStyle w:val="BodyText"/>
        <w:ind w:right="545"/>
      </w:pPr>
      <w:r>
        <w:t xml:space="preserve">The GAC normally meets with the Chair and other members of the </w:t>
      </w:r>
      <w:hyperlink r:id="rId9" w:history="1">
        <w:r w:rsidRPr="00A2055F">
          <w:rPr>
            <w:rStyle w:val="Hyperlink"/>
            <w:szCs w:val="20"/>
          </w:rPr>
          <w:t>GNSO</w:t>
        </w:r>
      </w:hyperlink>
      <w:r w:rsidRPr="00F07468">
        <w:rPr>
          <w:szCs w:val="20"/>
        </w:rPr>
        <w:t xml:space="preserve"> (Generic Names Supporting Organisation)</w:t>
      </w:r>
      <w:r>
        <w:rPr>
          <w:szCs w:val="20"/>
        </w:rPr>
        <w:t xml:space="preserve"> Council </w:t>
      </w:r>
      <w:r>
        <w:t>at each ICANN meeting to discuss issues of common concern and identify methods for better co-operation.  The current Chair of the</w:t>
      </w:r>
      <w:r w:rsidR="00C14EF2">
        <w:t xml:space="preserve"> GNSO Council is Dr Heather Forrest</w:t>
      </w:r>
      <w:r>
        <w:t>.  Vice C</w:t>
      </w:r>
      <w:r w:rsidR="00124BEE">
        <w:t>hairs ar</w:t>
      </w:r>
      <w:r w:rsidR="00C14EF2">
        <w:t>e Ms Donna Austin and Mr Rafik Dammak.</w:t>
      </w:r>
    </w:p>
    <w:p w14:paraId="32E4BF3C" w14:textId="5903EC9E" w:rsidR="00A87101" w:rsidRDefault="00A87101" w:rsidP="00982B73">
      <w:pPr>
        <w:pStyle w:val="BodyText"/>
        <w:ind w:right="545"/>
      </w:pPr>
      <w:r>
        <w:t xml:space="preserve">The GNSO Liaison to the GAC is Mr Johan (Julf) Helsingius. </w:t>
      </w:r>
    </w:p>
    <w:p w14:paraId="44DE4B61" w14:textId="77777777" w:rsidR="00982B73" w:rsidRDefault="00982B73" w:rsidP="00982B73">
      <w:pPr>
        <w:pStyle w:val="BodyText"/>
        <w:ind w:right="545"/>
      </w:pPr>
      <w:r w:rsidRPr="00F07468">
        <w:t xml:space="preserve">The </w:t>
      </w:r>
      <w:r>
        <w:t xml:space="preserve">GNSO </w:t>
      </w:r>
      <w:r w:rsidRPr="00F07468">
        <w:t xml:space="preserve">is one of the largest Supporting Organisations within the ICANN framework. </w:t>
      </w:r>
      <w:r>
        <w:t xml:space="preserve"> It develops and revises policies for gTLDs (for example .com, .org</w:t>
      </w:r>
      <w:proofErr w:type="gramStart"/>
      <w:r>
        <w:t>, .hotel</w:t>
      </w:r>
      <w:proofErr w:type="gramEnd"/>
      <w:r>
        <w:t xml:space="preserve">). Further information about the GNSO and its policy development process are available at </w:t>
      </w:r>
      <w:hyperlink r:id="rId10" w:history="1">
        <w:r w:rsidRPr="000E7A91">
          <w:rPr>
            <w:rStyle w:val="Hyperlink"/>
          </w:rPr>
          <w:t>http://gnso.icann.org/en/about</w:t>
        </w:r>
      </w:hyperlink>
      <w:r>
        <w:t xml:space="preserve">. </w:t>
      </w:r>
    </w:p>
    <w:p w14:paraId="740A9242" w14:textId="5D3A8BE8" w:rsidR="00076811" w:rsidRPr="00A13403" w:rsidRDefault="00982B73" w:rsidP="00982B73">
      <w:pPr>
        <w:pStyle w:val="BodyText"/>
        <w:ind w:right="545"/>
      </w:pPr>
      <w:r>
        <w:t>The GNSO is a “federation” of different stakeholder groups.  It comprises two “Houses”, one for parties contracted to ICANN (Registries and Registrars) and one for other parties (Commercial and Business Users, Intellectual Property, Internet Service Providers and</w:t>
      </w:r>
      <w:r w:rsidR="00D93E66">
        <w:t xml:space="preserve"> Non-Commercial Stakeholders). </w:t>
      </w:r>
    </w:p>
    <w:p w14:paraId="04C07B0D" w14:textId="4C3CCD00" w:rsidR="00406CEE" w:rsidRDefault="00076811" w:rsidP="00982B73">
      <w:pPr>
        <w:pStyle w:val="Heading2"/>
      </w:pPr>
      <w:r>
        <w:t>Further Information</w:t>
      </w:r>
    </w:p>
    <w:p w14:paraId="5499DB39" w14:textId="295F586C" w:rsidR="00076811" w:rsidRDefault="00E120D2" w:rsidP="00AF4D4A">
      <w:pPr>
        <w:pStyle w:val="BodyText"/>
        <w:ind w:right="544"/>
      </w:pPr>
      <w:hyperlink r:id="rId11" w:history="1">
        <w:r w:rsidR="00C14EF2" w:rsidRPr="00C14EF2">
          <w:rPr>
            <w:rStyle w:val="Hyperlink"/>
          </w:rPr>
          <w:t>GNSO website</w:t>
        </w:r>
      </w:hyperlink>
    </w:p>
    <w:p w14:paraId="7A47C443" w14:textId="05D26D32" w:rsidR="00D65E34" w:rsidRDefault="00E120D2" w:rsidP="00A87101">
      <w:pPr>
        <w:pStyle w:val="BodyText"/>
        <w:ind w:right="544"/>
      </w:pPr>
      <w:hyperlink r:id="rId12" w:history="1">
        <w:r w:rsidR="00C14EF2" w:rsidRPr="00C14EF2">
          <w:rPr>
            <w:rStyle w:val="Hyperlink"/>
          </w:rPr>
          <w:t>GNSO Council e-mail public archive</w:t>
        </w:r>
      </w:hyperlink>
    </w:p>
    <w:p w14:paraId="2125180A" w14:textId="77777777" w:rsidR="007B5468" w:rsidRDefault="007B5468" w:rsidP="00F85F5F">
      <w:pPr>
        <w:pStyle w:val="Heading2"/>
      </w:pPr>
      <w:bookmarkStart w:id="1" w:name="_Hlk484433727"/>
    </w:p>
    <w:p w14:paraId="1384AAB8" w14:textId="77777777" w:rsidR="007B5468" w:rsidRDefault="007B5468" w:rsidP="00F85F5F">
      <w:pPr>
        <w:pStyle w:val="Heading2"/>
      </w:pPr>
    </w:p>
    <w:p w14:paraId="0F44955C" w14:textId="638F8240" w:rsidR="00F85F5F" w:rsidRDefault="00F85F5F" w:rsidP="00F85F5F">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85F5F" w:rsidRPr="003F43E3" w14:paraId="5E017AE1" w14:textId="77777777" w:rsidTr="00D27E64">
        <w:tc>
          <w:tcPr>
            <w:tcW w:w="3261" w:type="dxa"/>
            <w:vAlign w:val="center"/>
          </w:tcPr>
          <w:p w14:paraId="55229821" w14:textId="77777777" w:rsidR="00F85F5F" w:rsidRPr="003F43E3" w:rsidRDefault="00F85F5F" w:rsidP="00D27E64">
            <w:pPr>
              <w:ind w:right="-132"/>
              <w:rPr>
                <w:b/>
                <w:sz w:val="20"/>
                <w:szCs w:val="20"/>
              </w:rPr>
            </w:pPr>
            <w:r w:rsidRPr="003F43E3">
              <w:rPr>
                <w:b/>
                <w:sz w:val="20"/>
                <w:szCs w:val="20"/>
              </w:rPr>
              <w:t>Title</w:t>
            </w:r>
          </w:p>
        </w:tc>
        <w:tc>
          <w:tcPr>
            <w:tcW w:w="5811" w:type="dxa"/>
            <w:vAlign w:val="center"/>
          </w:tcPr>
          <w:p w14:paraId="2B32FC30" w14:textId="3D712458" w:rsidR="00F85F5F" w:rsidRPr="00EA3A02" w:rsidRDefault="00F85F5F" w:rsidP="00D27E64">
            <w:pPr>
              <w:ind w:right="545"/>
              <w:rPr>
                <w:sz w:val="20"/>
                <w:szCs w:val="20"/>
              </w:rPr>
            </w:pPr>
            <w:r>
              <w:rPr>
                <w:sz w:val="20"/>
                <w:szCs w:val="20"/>
              </w:rPr>
              <w:t>Meeting with Generic Names Supporting Organisation (GNSO)</w:t>
            </w:r>
          </w:p>
        </w:tc>
      </w:tr>
      <w:tr w:rsidR="00F85F5F" w:rsidRPr="003F43E3" w14:paraId="1FA7A40C" w14:textId="77777777" w:rsidTr="00D27E64">
        <w:tc>
          <w:tcPr>
            <w:tcW w:w="3261" w:type="dxa"/>
            <w:vAlign w:val="center"/>
          </w:tcPr>
          <w:p w14:paraId="67C5478D" w14:textId="77777777" w:rsidR="00F85F5F" w:rsidRPr="003F43E3" w:rsidRDefault="00F85F5F" w:rsidP="00D27E64">
            <w:pPr>
              <w:ind w:right="-132"/>
              <w:rPr>
                <w:b/>
                <w:sz w:val="20"/>
                <w:szCs w:val="20"/>
              </w:rPr>
            </w:pPr>
            <w:r w:rsidRPr="003F43E3">
              <w:rPr>
                <w:b/>
                <w:sz w:val="20"/>
                <w:szCs w:val="20"/>
              </w:rPr>
              <w:t>Distribution</w:t>
            </w:r>
          </w:p>
        </w:tc>
        <w:tc>
          <w:tcPr>
            <w:tcW w:w="5811" w:type="dxa"/>
            <w:vAlign w:val="center"/>
          </w:tcPr>
          <w:p w14:paraId="1656EBFA" w14:textId="77777777" w:rsidR="00F85F5F" w:rsidRPr="003F43E3" w:rsidRDefault="00F85F5F" w:rsidP="00D27E64">
            <w:pPr>
              <w:ind w:right="545"/>
              <w:rPr>
                <w:sz w:val="20"/>
                <w:szCs w:val="20"/>
              </w:rPr>
            </w:pPr>
            <w:r>
              <w:rPr>
                <w:sz w:val="20"/>
                <w:szCs w:val="20"/>
              </w:rPr>
              <w:t>GAC Members</w:t>
            </w:r>
          </w:p>
        </w:tc>
      </w:tr>
      <w:tr w:rsidR="00A87101" w:rsidRPr="003F43E3" w14:paraId="0242B373" w14:textId="77777777" w:rsidTr="00D27E64">
        <w:tc>
          <w:tcPr>
            <w:tcW w:w="3261" w:type="dxa"/>
            <w:vAlign w:val="center"/>
          </w:tcPr>
          <w:p w14:paraId="738FD29E" w14:textId="151554DE" w:rsidR="00A87101" w:rsidRPr="003F43E3" w:rsidRDefault="00A87101" w:rsidP="00D27E64">
            <w:pPr>
              <w:ind w:right="-132"/>
              <w:rPr>
                <w:b/>
                <w:sz w:val="20"/>
                <w:szCs w:val="20"/>
              </w:rPr>
            </w:pPr>
            <w:r>
              <w:rPr>
                <w:b/>
                <w:sz w:val="20"/>
                <w:szCs w:val="20"/>
              </w:rPr>
              <w:t>Distribution Date</w:t>
            </w:r>
          </w:p>
        </w:tc>
        <w:tc>
          <w:tcPr>
            <w:tcW w:w="5811" w:type="dxa"/>
            <w:vAlign w:val="center"/>
          </w:tcPr>
          <w:p w14:paraId="4D2F0033" w14:textId="77777777" w:rsidR="00A87101" w:rsidRDefault="007B5468" w:rsidP="00D27E64">
            <w:pPr>
              <w:ind w:right="545"/>
              <w:rPr>
                <w:sz w:val="20"/>
                <w:szCs w:val="20"/>
              </w:rPr>
            </w:pPr>
            <w:r>
              <w:rPr>
                <w:sz w:val="20"/>
                <w:szCs w:val="20"/>
              </w:rPr>
              <w:t xml:space="preserve">Version 1.0 </w:t>
            </w:r>
            <w:r w:rsidR="001A63D6">
              <w:rPr>
                <w:sz w:val="20"/>
                <w:szCs w:val="20"/>
              </w:rPr>
              <w:t>7</w:t>
            </w:r>
            <w:r w:rsidR="00984595">
              <w:rPr>
                <w:sz w:val="20"/>
                <w:szCs w:val="20"/>
              </w:rPr>
              <w:t xml:space="preserve"> June 2018</w:t>
            </w:r>
          </w:p>
          <w:p w14:paraId="6F8FFF51" w14:textId="3AAE771C" w:rsidR="007B5468" w:rsidRDefault="007B5468" w:rsidP="00D27E64">
            <w:pPr>
              <w:ind w:right="545"/>
              <w:rPr>
                <w:sz w:val="20"/>
                <w:szCs w:val="20"/>
              </w:rPr>
            </w:pPr>
            <w:r>
              <w:rPr>
                <w:sz w:val="20"/>
                <w:szCs w:val="20"/>
              </w:rPr>
              <w:t>Version 2.0 14 June 2018</w:t>
            </w:r>
          </w:p>
        </w:tc>
      </w:tr>
    </w:tbl>
    <w:bookmarkEnd w:id="1"/>
    <w:p w14:paraId="14C6D19E" w14:textId="56BB43D3" w:rsidR="00373FD7" w:rsidRPr="00373FD7" w:rsidRDefault="00373FD7" w:rsidP="00373FD7">
      <w:pPr>
        <w:pStyle w:val="Heading1"/>
        <w:ind w:right="545"/>
        <w:rPr>
          <w:sz w:val="24"/>
          <w:szCs w:val="24"/>
        </w:rPr>
      </w:pPr>
      <w:r>
        <w:lastRenderedPageBreak/>
        <w:t>ATTACHMENT A: GAC Inter-Sessional Brief: GNSO PDP 3.0 (</w:t>
      </w:r>
      <w:r>
        <w:rPr>
          <w:sz w:val="24"/>
          <w:szCs w:val="24"/>
        </w:rPr>
        <w:t>circulated to GAC 25 May 2018)</w:t>
      </w:r>
    </w:p>
    <w:p w14:paraId="2A64585E" w14:textId="77777777" w:rsidR="00373FD7" w:rsidRDefault="00373FD7" w:rsidP="00373FD7">
      <w:pPr>
        <w:pStyle w:val="Heading2"/>
      </w:pPr>
      <w:r>
        <w:t>Issues</w:t>
      </w:r>
    </w:p>
    <w:p w14:paraId="669EC9F0" w14:textId="77777777" w:rsidR="00373FD7" w:rsidRDefault="00373FD7" w:rsidP="00A5021B">
      <w:pPr>
        <w:pStyle w:val="ListParagraph"/>
        <w:numPr>
          <w:ilvl w:val="0"/>
          <w:numId w:val="10"/>
        </w:numPr>
        <w:spacing w:before="100" w:beforeAutospacing="1" w:after="240"/>
        <w:ind w:right="545"/>
        <w:rPr>
          <w:szCs w:val="20"/>
        </w:rPr>
      </w:pPr>
      <w:r>
        <w:rPr>
          <w:szCs w:val="20"/>
        </w:rPr>
        <w:t>Problems with ICANN policy-making for generic top-level domains (gTLDs).</w:t>
      </w:r>
    </w:p>
    <w:p w14:paraId="74B5FA70" w14:textId="77777777" w:rsidR="00373FD7" w:rsidRDefault="00373FD7" w:rsidP="00A5021B">
      <w:pPr>
        <w:pStyle w:val="ListParagraph"/>
        <w:numPr>
          <w:ilvl w:val="0"/>
          <w:numId w:val="10"/>
        </w:numPr>
        <w:spacing w:before="100" w:beforeAutospacing="1" w:after="240"/>
        <w:ind w:right="545"/>
        <w:rPr>
          <w:szCs w:val="20"/>
        </w:rPr>
      </w:pPr>
      <w:r>
        <w:rPr>
          <w:szCs w:val="20"/>
        </w:rPr>
        <w:t xml:space="preserve">Possible improvements being considered by the Generic Name Supporting </w:t>
      </w:r>
      <w:proofErr w:type="spellStart"/>
      <w:r>
        <w:rPr>
          <w:szCs w:val="20"/>
        </w:rPr>
        <w:t>Organisation</w:t>
      </w:r>
      <w:proofErr w:type="spellEnd"/>
      <w:r>
        <w:rPr>
          <w:szCs w:val="20"/>
        </w:rPr>
        <w:t xml:space="preserve"> (GNSO).</w:t>
      </w:r>
    </w:p>
    <w:p w14:paraId="04559D5E" w14:textId="77777777" w:rsidR="00373FD7" w:rsidRPr="00927C0B" w:rsidRDefault="00373FD7" w:rsidP="00A5021B">
      <w:pPr>
        <w:pStyle w:val="ListParagraph"/>
        <w:numPr>
          <w:ilvl w:val="0"/>
          <w:numId w:val="10"/>
        </w:numPr>
        <w:spacing w:before="100" w:beforeAutospacing="1" w:after="240"/>
        <w:ind w:right="545"/>
        <w:rPr>
          <w:szCs w:val="20"/>
        </w:rPr>
      </w:pPr>
      <w:r>
        <w:rPr>
          <w:szCs w:val="20"/>
        </w:rPr>
        <w:t>Possible GAC input to this process.</w:t>
      </w:r>
    </w:p>
    <w:p w14:paraId="6382CA3B" w14:textId="77777777" w:rsidR="00373FD7" w:rsidRDefault="00373FD7" w:rsidP="00373FD7">
      <w:pPr>
        <w:pStyle w:val="Heading2"/>
      </w:pPr>
      <w:r>
        <w:t>Policy-making for gTLDs</w:t>
      </w:r>
    </w:p>
    <w:p w14:paraId="2B952448" w14:textId="77777777" w:rsidR="00373FD7" w:rsidRDefault="00373FD7" w:rsidP="00373FD7">
      <w:pPr>
        <w:spacing w:line="276" w:lineRule="auto"/>
        <w:jc w:val="both"/>
        <w:rPr>
          <w:rFonts w:cs="Calibri"/>
          <w:color w:val="000000"/>
          <w:sz w:val="20"/>
          <w:szCs w:val="20"/>
          <w:lang w:val="en-GB"/>
        </w:rPr>
      </w:pPr>
      <w:r>
        <w:rPr>
          <w:rFonts w:cs="Calibri"/>
          <w:color w:val="000000"/>
          <w:sz w:val="20"/>
          <w:szCs w:val="20"/>
          <w:lang w:val="en-GB"/>
        </w:rPr>
        <w:t xml:space="preserve">ICANN policy-making tends to focus on gTLDs, which are applied on a global level, compared with ccTLDs where policies are largely locally developed. ICANN Bylaws and structural arrangements set out a gTLD Policy Development Process that is managed by the GNSO through Working Groups. </w:t>
      </w:r>
    </w:p>
    <w:p w14:paraId="139DB8BF" w14:textId="77777777" w:rsidR="00373FD7" w:rsidRDefault="00373FD7" w:rsidP="00373FD7">
      <w:pPr>
        <w:spacing w:line="276" w:lineRule="auto"/>
        <w:jc w:val="both"/>
        <w:rPr>
          <w:rFonts w:cs="Calibri"/>
          <w:color w:val="000000"/>
          <w:sz w:val="20"/>
          <w:szCs w:val="20"/>
          <w:lang w:val="en-GB"/>
        </w:rPr>
      </w:pPr>
    </w:p>
    <w:p w14:paraId="24C54204" w14:textId="77777777" w:rsidR="00373FD7" w:rsidRDefault="00373FD7" w:rsidP="00373FD7">
      <w:pPr>
        <w:spacing w:line="276" w:lineRule="auto"/>
        <w:jc w:val="both"/>
        <w:rPr>
          <w:rFonts w:cs="Calibri"/>
          <w:color w:val="000000"/>
          <w:sz w:val="20"/>
          <w:szCs w:val="20"/>
          <w:lang w:val="en-GB"/>
        </w:rPr>
      </w:pPr>
      <w:r>
        <w:rPr>
          <w:rFonts w:cs="Calibri"/>
          <w:color w:val="000000"/>
          <w:sz w:val="20"/>
          <w:szCs w:val="20"/>
          <w:lang w:val="en-GB"/>
        </w:rPr>
        <w:t xml:space="preserve">The GNSO Council has initiated a review process of GNSO efficiency and effectiveness and ICANN staff have prepared a </w:t>
      </w:r>
      <w:hyperlink r:id="rId13" w:history="1">
        <w:r w:rsidRPr="004B6515">
          <w:rPr>
            <w:rStyle w:val="Hyperlink"/>
            <w:rFonts w:cs="Calibri"/>
            <w:sz w:val="20"/>
            <w:szCs w:val="20"/>
            <w:lang w:val="en-GB"/>
          </w:rPr>
          <w:t>discussion paper</w:t>
        </w:r>
      </w:hyperlink>
      <w:r>
        <w:rPr>
          <w:rFonts w:cs="Calibri"/>
          <w:color w:val="000000"/>
          <w:sz w:val="20"/>
          <w:szCs w:val="20"/>
          <w:lang w:val="en-GB"/>
        </w:rPr>
        <w:t xml:space="preserve"> (“PDP 3.0”) for consideration by the various GNSO Constituencies and Stakeholder Groups.</w:t>
      </w:r>
    </w:p>
    <w:p w14:paraId="3E8269FF" w14:textId="77777777" w:rsidR="00373FD7" w:rsidRDefault="00373FD7" w:rsidP="00373FD7">
      <w:pPr>
        <w:spacing w:line="276" w:lineRule="auto"/>
        <w:jc w:val="both"/>
        <w:rPr>
          <w:rFonts w:cs="Calibri"/>
          <w:color w:val="000000"/>
          <w:sz w:val="20"/>
          <w:szCs w:val="20"/>
          <w:lang w:val="en-GB"/>
        </w:rPr>
      </w:pPr>
    </w:p>
    <w:p w14:paraId="2C292D9C" w14:textId="77777777" w:rsidR="00373FD7" w:rsidRDefault="00373FD7" w:rsidP="00373FD7">
      <w:pPr>
        <w:spacing w:line="276" w:lineRule="auto"/>
        <w:jc w:val="both"/>
        <w:rPr>
          <w:rFonts w:cs="Calibri"/>
          <w:color w:val="000000"/>
          <w:sz w:val="20"/>
          <w:szCs w:val="20"/>
          <w:lang w:val="en-GB"/>
        </w:rPr>
      </w:pPr>
      <w:r>
        <w:rPr>
          <w:rFonts w:cs="Calibri"/>
          <w:color w:val="000000"/>
          <w:sz w:val="20"/>
          <w:szCs w:val="20"/>
          <w:lang w:val="en-GB"/>
        </w:rPr>
        <w:t>The paper identifies several challenges for the current PDP Working Group structure:</w:t>
      </w:r>
    </w:p>
    <w:p w14:paraId="42C78892" w14:textId="77777777" w:rsidR="00373FD7" w:rsidRPr="006C4A48" w:rsidRDefault="00373FD7" w:rsidP="00373FD7">
      <w:pPr>
        <w:spacing w:line="276" w:lineRule="auto"/>
        <w:jc w:val="both"/>
        <w:rPr>
          <w:rFonts w:cs="Calibri"/>
          <w:color w:val="000000"/>
          <w:sz w:val="20"/>
          <w:szCs w:val="20"/>
        </w:rPr>
      </w:pPr>
    </w:p>
    <w:p w14:paraId="7BCF2D24" w14:textId="77777777" w:rsidR="00373FD7" w:rsidRPr="004B6515" w:rsidRDefault="00373FD7" w:rsidP="00A5021B">
      <w:pPr>
        <w:numPr>
          <w:ilvl w:val="0"/>
          <w:numId w:val="11"/>
        </w:numPr>
        <w:spacing w:line="276" w:lineRule="auto"/>
        <w:jc w:val="both"/>
        <w:rPr>
          <w:rFonts w:cs="Calibri"/>
          <w:color w:val="000000"/>
          <w:sz w:val="20"/>
          <w:szCs w:val="20"/>
        </w:rPr>
      </w:pPr>
      <w:r w:rsidRPr="006C4A48">
        <w:rPr>
          <w:rFonts w:cs="Calibri"/>
          <w:color w:val="000000"/>
          <w:sz w:val="20"/>
          <w:szCs w:val="20"/>
          <w:lang w:val="en-GB"/>
        </w:rPr>
        <w:t xml:space="preserve">PDP Working Group dynamics: </w:t>
      </w:r>
      <w:r>
        <w:rPr>
          <w:rFonts w:cs="Calibri"/>
          <w:color w:val="000000"/>
          <w:sz w:val="20"/>
          <w:szCs w:val="20"/>
          <w:lang w:val="en-GB"/>
        </w:rPr>
        <w:t>WGs are g</w:t>
      </w:r>
      <w:r w:rsidRPr="006C4A48">
        <w:rPr>
          <w:rFonts w:cs="Calibri"/>
          <w:color w:val="000000"/>
          <w:sz w:val="20"/>
          <w:szCs w:val="20"/>
          <w:lang w:val="en-GB"/>
        </w:rPr>
        <w:t xml:space="preserve">rowing in size but </w:t>
      </w:r>
      <w:r>
        <w:rPr>
          <w:rFonts w:cs="Calibri"/>
          <w:color w:val="000000"/>
          <w:sz w:val="20"/>
          <w:szCs w:val="20"/>
          <w:lang w:val="en-GB"/>
        </w:rPr>
        <w:t xml:space="preserve">have </w:t>
      </w:r>
      <w:r w:rsidRPr="006C4A48">
        <w:rPr>
          <w:rFonts w:cs="Calibri"/>
          <w:color w:val="000000"/>
          <w:sz w:val="20"/>
          <w:szCs w:val="20"/>
          <w:lang w:val="en-GB"/>
        </w:rPr>
        <w:t>uneven effort</w:t>
      </w:r>
      <w:r>
        <w:rPr>
          <w:rFonts w:cs="Calibri"/>
          <w:color w:val="000000"/>
          <w:sz w:val="20"/>
          <w:szCs w:val="20"/>
          <w:lang w:val="en-GB"/>
        </w:rPr>
        <w:t xml:space="preserve"> across participants</w:t>
      </w:r>
      <w:r w:rsidRPr="006C4A48">
        <w:rPr>
          <w:rFonts w:cs="Calibri"/>
          <w:color w:val="000000"/>
          <w:sz w:val="20"/>
          <w:szCs w:val="20"/>
          <w:lang w:val="en-GB"/>
        </w:rPr>
        <w:t xml:space="preserve">; </w:t>
      </w:r>
      <w:r>
        <w:rPr>
          <w:rFonts w:cs="Calibri"/>
          <w:color w:val="000000"/>
          <w:sz w:val="20"/>
          <w:szCs w:val="20"/>
          <w:lang w:val="en-GB"/>
        </w:rPr>
        <w:t>There is l</w:t>
      </w:r>
      <w:r w:rsidRPr="006C4A48">
        <w:rPr>
          <w:rFonts w:cs="Calibri"/>
          <w:color w:val="000000"/>
          <w:sz w:val="20"/>
          <w:szCs w:val="20"/>
          <w:lang w:val="en-GB"/>
        </w:rPr>
        <w:t>e</w:t>
      </w:r>
      <w:r>
        <w:rPr>
          <w:rFonts w:cs="Calibri"/>
          <w:color w:val="000000"/>
          <w:sz w:val="20"/>
          <w:szCs w:val="20"/>
          <w:lang w:val="en-GB"/>
        </w:rPr>
        <w:t>ss effort toward group goals; ‘C</w:t>
      </w:r>
      <w:r w:rsidRPr="006C4A48">
        <w:rPr>
          <w:rFonts w:cs="Calibri"/>
          <w:color w:val="000000"/>
          <w:sz w:val="20"/>
          <w:szCs w:val="20"/>
          <w:lang w:val="en-GB"/>
        </w:rPr>
        <w:t>onsensus by exhaustion’</w:t>
      </w:r>
      <w:r>
        <w:rPr>
          <w:rFonts w:cs="Calibri"/>
          <w:color w:val="000000"/>
          <w:sz w:val="20"/>
          <w:szCs w:val="20"/>
          <w:lang w:val="en-GB"/>
        </w:rPr>
        <w:t xml:space="preserve"> results from lack of incentives to finalise the work</w:t>
      </w:r>
      <w:r w:rsidRPr="006C4A48">
        <w:rPr>
          <w:rFonts w:cs="Calibri"/>
          <w:color w:val="000000"/>
          <w:sz w:val="20"/>
          <w:szCs w:val="20"/>
          <w:lang w:val="en-GB"/>
        </w:rPr>
        <w:t>; Finding a balance between WG meeting outputs and e-mail, chat etc.</w:t>
      </w:r>
      <w:r>
        <w:rPr>
          <w:rFonts w:cs="Calibri"/>
          <w:color w:val="000000"/>
          <w:sz w:val="20"/>
          <w:szCs w:val="20"/>
          <w:lang w:val="en-GB"/>
        </w:rPr>
        <w:t xml:space="preserve"> is a problem.</w:t>
      </w:r>
    </w:p>
    <w:p w14:paraId="5603B1B1" w14:textId="77777777" w:rsidR="00373FD7" w:rsidRPr="006C4A48" w:rsidRDefault="00373FD7" w:rsidP="00373FD7">
      <w:pPr>
        <w:spacing w:line="276" w:lineRule="auto"/>
        <w:ind w:left="720"/>
        <w:jc w:val="both"/>
        <w:rPr>
          <w:rFonts w:cs="Calibri"/>
          <w:color w:val="000000"/>
          <w:sz w:val="20"/>
          <w:szCs w:val="20"/>
        </w:rPr>
      </w:pPr>
    </w:p>
    <w:p w14:paraId="66C4B7A1" w14:textId="77777777" w:rsidR="00373FD7" w:rsidRPr="004B6515" w:rsidRDefault="00373FD7" w:rsidP="00A5021B">
      <w:pPr>
        <w:numPr>
          <w:ilvl w:val="0"/>
          <w:numId w:val="11"/>
        </w:numPr>
        <w:spacing w:line="276" w:lineRule="auto"/>
        <w:jc w:val="both"/>
        <w:rPr>
          <w:rFonts w:cs="Calibri"/>
          <w:color w:val="000000"/>
          <w:sz w:val="20"/>
          <w:szCs w:val="20"/>
        </w:rPr>
      </w:pPr>
      <w:r>
        <w:rPr>
          <w:rFonts w:cs="Calibri"/>
          <w:color w:val="000000"/>
          <w:sz w:val="20"/>
          <w:szCs w:val="20"/>
          <w:lang w:val="en-GB"/>
        </w:rPr>
        <w:t>WG Leadership – Skill requirements</w:t>
      </w:r>
      <w:r w:rsidRPr="006C4A48">
        <w:rPr>
          <w:rFonts w:cs="Calibri"/>
          <w:color w:val="000000"/>
          <w:sz w:val="20"/>
          <w:szCs w:val="20"/>
          <w:lang w:val="en-GB"/>
        </w:rPr>
        <w:t xml:space="preserve"> and expectations are growing, as are demands on time.</w:t>
      </w:r>
    </w:p>
    <w:p w14:paraId="23C57DA5" w14:textId="77777777" w:rsidR="00373FD7" w:rsidRPr="006C4A48" w:rsidRDefault="00373FD7" w:rsidP="00373FD7">
      <w:pPr>
        <w:spacing w:line="276" w:lineRule="auto"/>
        <w:jc w:val="both"/>
        <w:rPr>
          <w:rFonts w:cs="Calibri"/>
          <w:color w:val="000000"/>
          <w:sz w:val="20"/>
          <w:szCs w:val="20"/>
        </w:rPr>
      </w:pPr>
    </w:p>
    <w:p w14:paraId="6A71FAD4" w14:textId="77777777" w:rsidR="00373FD7" w:rsidRPr="004B6515" w:rsidRDefault="00373FD7" w:rsidP="00A5021B">
      <w:pPr>
        <w:numPr>
          <w:ilvl w:val="0"/>
          <w:numId w:val="11"/>
        </w:numPr>
        <w:spacing w:line="276" w:lineRule="auto"/>
        <w:jc w:val="both"/>
        <w:rPr>
          <w:rFonts w:cs="Calibri"/>
          <w:color w:val="000000"/>
          <w:sz w:val="20"/>
          <w:szCs w:val="20"/>
        </w:rPr>
      </w:pPr>
      <w:r w:rsidRPr="006C4A48">
        <w:rPr>
          <w:rFonts w:cs="Calibri"/>
          <w:color w:val="000000"/>
          <w:sz w:val="20"/>
          <w:szCs w:val="20"/>
          <w:lang w:val="en-GB"/>
        </w:rPr>
        <w:t xml:space="preserve">Complexity of subject matter: </w:t>
      </w:r>
      <w:r>
        <w:rPr>
          <w:rFonts w:cs="Calibri"/>
          <w:color w:val="000000"/>
          <w:sz w:val="20"/>
          <w:szCs w:val="20"/>
          <w:lang w:val="en-GB"/>
        </w:rPr>
        <w:t xml:space="preserve">There are </w:t>
      </w:r>
      <w:r w:rsidRPr="006C4A48">
        <w:rPr>
          <w:rFonts w:cs="Calibri"/>
          <w:color w:val="000000"/>
          <w:sz w:val="20"/>
          <w:szCs w:val="20"/>
          <w:lang w:val="en-GB"/>
        </w:rPr>
        <w:t>interdependencies</w:t>
      </w:r>
      <w:r>
        <w:rPr>
          <w:rFonts w:cs="Calibri"/>
          <w:color w:val="000000"/>
          <w:sz w:val="20"/>
          <w:szCs w:val="20"/>
          <w:lang w:val="en-GB"/>
        </w:rPr>
        <w:t xml:space="preserve"> with other work across ICANN; Preparing for calls and keeping up with complex discussions and drafting are issues. </w:t>
      </w:r>
    </w:p>
    <w:p w14:paraId="31B099B1" w14:textId="77777777" w:rsidR="00373FD7" w:rsidRPr="006C4A48" w:rsidRDefault="00373FD7" w:rsidP="00373FD7">
      <w:pPr>
        <w:spacing w:line="276" w:lineRule="auto"/>
        <w:jc w:val="both"/>
        <w:rPr>
          <w:rFonts w:cs="Calibri"/>
          <w:color w:val="000000"/>
          <w:sz w:val="20"/>
          <w:szCs w:val="20"/>
        </w:rPr>
      </w:pPr>
    </w:p>
    <w:p w14:paraId="5F04ECBF" w14:textId="77777777" w:rsidR="00373FD7" w:rsidRPr="004B6515" w:rsidRDefault="00373FD7" w:rsidP="00A5021B">
      <w:pPr>
        <w:numPr>
          <w:ilvl w:val="0"/>
          <w:numId w:val="11"/>
        </w:numPr>
        <w:spacing w:line="276" w:lineRule="auto"/>
        <w:jc w:val="both"/>
        <w:rPr>
          <w:rFonts w:cs="Calibri"/>
          <w:color w:val="000000"/>
          <w:sz w:val="20"/>
          <w:szCs w:val="20"/>
        </w:rPr>
      </w:pPr>
      <w:r w:rsidRPr="006C4A48">
        <w:rPr>
          <w:rFonts w:cs="Calibri"/>
          <w:color w:val="000000"/>
          <w:sz w:val="20"/>
          <w:szCs w:val="20"/>
          <w:lang w:val="en-GB"/>
        </w:rPr>
        <w:t xml:space="preserve">Consensus building – </w:t>
      </w:r>
      <w:r>
        <w:rPr>
          <w:rFonts w:cs="Calibri"/>
          <w:color w:val="000000"/>
          <w:sz w:val="20"/>
          <w:szCs w:val="20"/>
          <w:lang w:val="en-GB"/>
        </w:rPr>
        <w:t xml:space="preserve">This is </w:t>
      </w:r>
      <w:r w:rsidRPr="006C4A48">
        <w:rPr>
          <w:rFonts w:cs="Calibri"/>
          <w:color w:val="000000"/>
          <w:sz w:val="20"/>
          <w:szCs w:val="20"/>
          <w:lang w:val="en-GB"/>
        </w:rPr>
        <w:t xml:space="preserve">an art, </w:t>
      </w:r>
      <w:r>
        <w:rPr>
          <w:rFonts w:cs="Calibri"/>
          <w:color w:val="000000"/>
          <w:sz w:val="20"/>
          <w:szCs w:val="20"/>
          <w:lang w:val="en-GB"/>
        </w:rPr>
        <w:t>which can be taught but currently is not.</w:t>
      </w:r>
    </w:p>
    <w:p w14:paraId="5AFB463C" w14:textId="77777777" w:rsidR="00373FD7" w:rsidRPr="006C4A48" w:rsidRDefault="00373FD7" w:rsidP="00373FD7">
      <w:pPr>
        <w:spacing w:line="276" w:lineRule="auto"/>
        <w:jc w:val="both"/>
        <w:rPr>
          <w:rFonts w:cs="Calibri"/>
          <w:color w:val="000000"/>
          <w:sz w:val="20"/>
          <w:szCs w:val="20"/>
        </w:rPr>
      </w:pPr>
    </w:p>
    <w:p w14:paraId="74C24662" w14:textId="77777777" w:rsidR="00373FD7" w:rsidRPr="004B6515" w:rsidRDefault="00373FD7" w:rsidP="00A5021B">
      <w:pPr>
        <w:numPr>
          <w:ilvl w:val="0"/>
          <w:numId w:val="11"/>
        </w:numPr>
        <w:spacing w:line="276" w:lineRule="auto"/>
        <w:jc w:val="both"/>
        <w:rPr>
          <w:rFonts w:cs="Calibri"/>
          <w:color w:val="000000"/>
          <w:sz w:val="20"/>
          <w:szCs w:val="20"/>
        </w:rPr>
      </w:pPr>
      <w:r w:rsidRPr="006C4A48">
        <w:rPr>
          <w:rFonts w:cs="Calibri"/>
          <w:color w:val="000000"/>
          <w:sz w:val="20"/>
          <w:szCs w:val="20"/>
          <w:lang w:val="en-GB"/>
        </w:rPr>
        <w:t>Role of GNSO Council</w:t>
      </w:r>
      <w:r>
        <w:rPr>
          <w:rFonts w:cs="Calibri"/>
          <w:color w:val="000000"/>
          <w:sz w:val="20"/>
          <w:szCs w:val="20"/>
          <w:lang w:val="en-GB"/>
        </w:rPr>
        <w:t xml:space="preserve"> – This is always challenging, as the GNSO is a federation of groups and interests whose positions often diverge.</w:t>
      </w:r>
    </w:p>
    <w:p w14:paraId="5C130E98" w14:textId="77777777" w:rsidR="00373FD7" w:rsidRPr="004B6515" w:rsidRDefault="00373FD7" w:rsidP="00373FD7">
      <w:pPr>
        <w:spacing w:line="276" w:lineRule="auto"/>
        <w:jc w:val="both"/>
        <w:rPr>
          <w:rFonts w:cs="Calibri"/>
          <w:color w:val="000000"/>
          <w:sz w:val="20"/>
          <w:szCs w:val="20"/>
        </w:rPr>
      </w:pPr>
    </w:p>
    <w:p w14:paraId="6223B3C2" w14:textId="77777777" w:rsidR="00373FD7" w:rsidRDefault="00373FD7" w:rsidP="00373FD7">
      <w:pPr>
        <w:pStyle w:val="Heading2"/>
      </w:pPr>
      <w:r>
        <w:t>Possible improvements</w:t>
      </w:r>
    </w:p>
    <w:p w14:paraId="0EB411D1" w14:textId="77777777" w:rsidR="00373FD7" w:rsidRDefault="00373FD7" w:rsidP="00373FD7">
      <w:pPr>
        <w:pStyle w:val="BodyText"/>
        <w:rPr>
          <w:szCs w:val="20"/>
        </w:rPr>
      </w:pPr>
      <w:r w:rsidRPr="006C4A48">
        <w:rPr>
          <w:szCs w:val="20"/>
        </w:rPr>
        <w:t xml:space="preserve">The </w:t>
      </w:r>
      <w:r>
        <w:rPr>
          <w:szCs w:val="20"/>
        </w:rPr>
        <w:t xml:space="preserve">discussion paper </w:t>
      </w:r>
      <w:r w:rsidRPr="006C4A48">
        <w:rPr>
          <w:szCs w:val="20"/>
        </w:rPr>
        <w:t>also proposes a number of “potential incremental improvements.” These are detailed in the paper, and can be summarised as:</w:t>
      </w:r>
    </w:p>
    <w:p w14:paraId="2D1C2777" w14:textId="77777777" w:rsidR="00373FD7" w:rsidRPr="008427F8" w:rsidRDefault="00373FD7" w:rsidP="00373FD7">
      <w:pPr>
        <w:pStyle w:val="BodyText"/>
        <w:rPr>
          <w:b/>
          <w:szCs w:val="20"/>
        </w:rPr>
      </w:pPr>
      <w:r w:rsidRPr="008427F8">
        <w:rPr>
          <w:b/>
          <w:szCs w:val="20"/>
        </w:rPr>
        <w:t>Better structuring of Working Groups</w:t>
      </w:r>
    </w:p>
    <w:p w14:paraId="2C22BDF9" w14:textId="77777777" w:rsidR="00373FD7" w:rsidRDefault="00373FD7" w:rsidP="00A5021B">
      <w:pPr>
        <w:pStyle w:val="BodyText"/>
        <w:numPr>
          <w:ilvl w:val="0"/>
          <w:numId w:val="12"/>
        </w:numPr>
        <w:ind w:left="357" w:hanging="357"/>
        <w:rPr>
          <w:szCs w:val="20"/>
        </w:rPr>
      </w:pPr>
      <w:r>
        <w:rPr>
          <w:szCs w:val="20"/>
        </w:rPr>
        <w:t>Formal commitment of participants at the outset to consensus-building and statements of their knowledge and expertise.</w:t>
      </w:r>
    </w:p>
    <w:p w14:paraId="4BDEC6B5" w14:textId="77777777" w:rsidR="00373FD7" w:rsidRPr="008427F8" w:rsidRDefault="00373FD7" w:rsidP="00A5021B">
      <w:pPr>
        <w:pStyle w:val="BodyText"/>
        <w:numPr>
          <w:ilvl w:val="0"/>
          <w:numId w:val="12"/>
        </w:numPr>
        <w:ind w:left="357" w:hanging="357"/>
        <w:rPr>
          <w:szCs w:val="20"/>
        </w:rPr>
      </w:pPr>
      <w:r>
        <w:rPr>
          <w:szCs w:val="20"/>
        </w:rPr>
        <w:lastRenderedPageBreak/>
        <w:t xml:space="preserve">Alternatives to the “open to all” model. For example, having </w:t>
      </w:r>
      <w:r w:rsidRPr="008427F8">
        <w:rPr>
          <w:rFonts w:cs="Calibri"/>
          <w:color w:val="000000"/>
          <w:szCs w:val="20"/>
          <w:lang w:val="en-GB"/>
        </w:rPr>
        <w:t>members designated by SOs/ACs + individual participants + individual observers (</w:t>
      </w:r>
      <w:r>
        <w:rPr>
          <w:rFonts w:cs="Calibri"/>
          <w:color w:val="000000"/>
          <w:szCs w:val="20"/>
          <w:lang w:val="en-GB"/>
        </w:rPr>
        <w:t xml:space="preserve">similar to </w:t>
      </w:r>
      <w:r w:rsidRPr="008427F8">
        <w:rPr>
          <w:rFonts w:cs="Calibri"/>
          <w:color w:val="000000"/>
          <w:szCs w:val="20"/>
          <w:lang w:val="en-GB"/>
        </w:rPr>
        <w:t>the current CCWG model).</w:t>
      </w:r>
    </w:p>
    <w:p w14:paraId="3C79F202" w14:textId="77777777" w:rsidR="00373FD7" w:rsidRPr="008427F8" w:rsidRDefault="00373FD7" w:rsidP="00373FD7">
      <w:pPr>
        <w:pStyle w:val="BodyText"/>
        <w:rPr>
          <w:b/>
          <w:szCs w:val="20"/>
        </w:rPr>
      </w:pPr>
      <w:r w:rsidRPr="008427F8">
        <w:rPr>
          <w:b/>
          <w:szCs w:val="20"/>
        </w:rPr>
        <w:t>Incentives for best WG leadership</w:t>
      </w:r>
    </w:p>
    <w:p w14:paraId="2D4611EA" w14:textId="77777777" w:rsidR="00373FD7" w:rsidRPr="008427F8" w:rsidRDefault="00373FD7" w:rsidP="00A5021B">
      <w:pPr>
        <w:pStyle w:val="BodyText"/>
        <w:numPr>
          <w:ilvl w:val="0"/>
          <w:numId w:val="13"/>
        </w:numPr>
        <w:rPr>
          <w:szCs w:val="20"/>
        </w:rPr>
      </w:pPr>
      <w:r w:rsidRPr="008427F8">
        <w:rPr>
          <w:rFonts w:cs="Calibri"/>
          <w:color w:val="000000"/>
          <w:szCs w:val="20"/>
          <w:lang w:val="en-GB"/>
        </w:rPr>
        <w:t>Guidelines for WG leaders on building consensus and avoiding capture.</w:t>
      </w:r>
    </w:p>
    <w:p w14:paraId="742A1A04" w14:textId="77777777" w:rsidR="00373FD7" w:rsidRPr="002446F5" w:rsidRDefault="00373FD7" w:rsidP="00A5021B">
      <w:pPr>
        <w:pStyle w:val="BodyText"/>
        <w:numPr>
          <w:ilvl w:val="0"/>
          <w:numId w:val="13"/>
        </w:numPr>
        <w:rPr>
          <w:szCs w:val="20"/>
        </w:rPr>
      </w:pPr>
      <w:r w:rsidRPr="008427F8">
        <w:rPr>
          <w:rFonts w:cs="Calibri"/>
          <w:color w:val="000000"/>
          <w:szCs w:val="20"/>
          <w:lang w:val="en-GB"/>
        </w:rPr>
        <w:t>More detailed job description for WG leaders</w:t>
      </w:r>
      <w:r>
        <w:rPr>
          <w:rFonts w:cs="Calibri"/>
          <w:color w:val="000000"/>
          <w:szCs w:val="20"/>
          <w:lang w:val="en-GB"/>
        </w:rPr>
        <w:t>.</w:t>
      </w:r>
    </w:p>
    <w:p w14:paraId="0E350DC2" w14:textId="77777777" w:rsidR="00373FD7" w:rsidRPr="008427F8" w:rsidRDefault="00373FD7" w:rsidP="00A5021B">
      <w:pPr>
        <w:pStyle w:val="BodyText"/>
        <w:numPr>
          <w:ilvl w:val="0"/>
          <w:numId w:val="13"/>
        </w:numPr>
        <w:rPr>
          <w:szCs w:val="20"/>
        </w:rPr>
      </w:pPr>
      <w:r>
        <w:rPr>
          <w:rFonts w:cs="Calibri"/>
          <w:color w:val="000000"/>
          <w:szCs w:val="20"/>
          <w:lang w:val="en-GB"/>
        </w:rPr>
        <w:t>Regularly reviewing the performance of WG Chairs.</w:t>
      </w:r>
    </w:p>
    <w:p w14:paraId="245D7A29" w14:textId="77777777" w:rsidR="00373FD7" w:rsidRPr="008427F8" w:rsidRDefault="00373FD7" w:rsidP="00373FD7">
      <w:pPr>
        <w:pStyle w:val="BodyText"/>
        <w:rPr>
          <w:rFonts w:cs="Calibri"/>
          <w:b/>
          <w:color w:val="000000"/>
          <w:szCs w:val="20"/>
          <w:lang w:val="en-GB"/>
        </w:rPr>
      </w:pPr>
      <w:r w:rsidRPr="008427F8">
        <w:rPr>
          <w:rFonts w:cs="Calibri"/>
          <w:b/>
          <w:color w:val="000000"/>
          <w:szCs w:val="20"/>
          <w:lang w:val="en-GB"/>
        </w:rPr>
        <w:t>Better handling of complex subject matter</w:t>
      </w:r>
    </w:p>
    <w:p w14:paraId="31243097" w14:textId="77777777" w:rsidR="00373FD7" w:rsidRPr="008427F8" w:rsidRDefault="00373FD7" w:rsidP="00A5021B">
      <w:pPr>
        <w:pStyle w:val="BodyText"/>
        <w:numPr>
          <w:ilvl w:val="0"/>
          <w:numId w:val="14"/>
        </w:numPr>
        <w:rPr>
          <w:szCs w:val="20"/>
        </w:rPr>
      </w:pPr>
      <w:r w:rsidRPr="008427F8">
        <w:rPr>
          <w:rFonts w:cs="Calibri"/>
          <w:color w:val="000000"/>
          <w:szCs w:val="20"/>
          <w:lang w:val="en-GB"/>
        </w:rPr>
        <w:t>Creation of ‘cooperative teams’ of more active members within WGs to assist others less able to attend all meetings.</w:t>
      </w:r>
    </w:p>
    <w:p w14:paraId="5468E573" w14:textId="77777777" w:rsidR="00373FD7" w:rsidRPr="008427F8" w:rsidRDefault="00373FD7" w:rsidP="00A5021B">
      <w:pPr>
        <w:pStyle w:val="BodyText"/>
        <w:numPr>
          <w:ilvl w:val="0"/>
          <w:numId w:val="14"/>
        </w:numPr>
        <w:rPr>
          <w:szCs w:val="20"/>
        </w:rPr>
      </w:pPr>
      <w:r>
        <w:rPr>
          <w:rFonts w:cs="Calibri"/>
          <w:color w:val="000000"/>
          <w:szCs w:val="20"/>
          <w:lang w:val="en-GB"/>
        </w:rPr>
        <w:t xml:space="preserve">A </w:t>
      </w:r>
      <w:r w:rsidRPr="008427F8">
        <w:rPr>
          <w:rFonts w:cs="Calibri"/>
          <w:color w:val="000000"/>
          <w:szCs w:val="20"/>
          <w:lang w:val="en-GB"/>
        </w:rPr>
        <w:t>mechanism for newcomers to observe and learn before getting involved in active PDPs.</w:t>
      </w:r>
    </w:p>
    <w:p w14:paraId="57374963" w14:textId="77777777" w:rsidR="00373FD7" w:rsidRPr="008427F8" w:rsidRDefault="00373FD7" w:rsidP="00373FD7">
      <w:pPr>
        <w:pStyle w:val="BodyText"/>
        <w:rPr>
          <w:rFonts w:cs="Calibri"/>
          <w:b/>
          <w:color w:val="000000"/>
          <w:szCs w:val="20"/>
          <w:lang w:val="en-GB"/>
        </w:rPr>
      </w:pPr>
      <w:r w:rsidRPr="008427F8">
        <w:rPr>
          <w:rFonts w:cs="Calibri"/>
          <w:b/>
          <w:color w:val="000000"/>
          <w:szCs w:val="20"/>
          <w:lang w:val="en-GB"/>
        </w:rPr>
        <w:t>Incentives for consensus-building</w:t>
      </w:r>
    </w:p>
    <w:p w14:paraId="7F074848" w14:textId="77777777" w:rsidR="00373FD7" w:rsidRDefault="00373FD7" w:rsidP="00A5021B">
      <w:pPr>
        <w:pStyle w:val="BodyText"/>
        <w:numPr>
          <w:ilvl w:val="0"/>
          <w:numId w:val="15"/>
        </w:numPr>
        <w:rPr>
          <w:rFonts w:cs="Calibri"/>
          <w:color w:val="000000"/>
          <w:szCs w:val="20"/>
          <w:lang w:val="en-GB"/>
        </w:rPr>
      </w:pPr>
      <w:r>
        <w:rPr>
          <w:rFonts w:cs="Calibri"/>
          <w:color w:val="000000"/>
          <w:szCs w:val="20"/>
          <w:lang w:val="en-GB"/>
        </w:rPr>
        <w:t>More guidance for WGs on consensus decision-making and resolving disputes.</w:t>
      </w:r>
    </w:p>
    <w:p w14:paraId="556CF2E2" w14:textId="77777777" w:rsidR="00373FD7" w:rsidRPr="004B6515" w:rsidRDefault="00373FD7" w:rsidP="00A5021B">
      <w:pPr>
        <w:pStyle w:val="BodyText"/>
        <w:numPr>
          <w:ilvl w:val="0"/>
          <w:numId w:val="15"/>
        </w:numPr>
        <w:rPr>
          <w:rFonts w:cs="Calibri"/>
          <w:color w:val="000000"/>
          <w:szCs w:val="20"/>
          <w:lang w:val="en-GB"/>
        </w:rPr>
      </w:pPr>
      <w:r>
        <w:rPr>
          <w:rFonts w:cs="Calibri"/>
          <w:color w:val="000000"/>
          <w:szCs w:val="20"/>
          <w:lang w:val="en-GB"/>
        </w:rPr>
        <w:t xml:space="preserve">Clarifying the </w:t>
      </w:r>
      <w:r w:rsidRPr="008427F8">
        <w:rPr>
          <w:rFonts w:cs="Calibri"/>
          <w:color w:val="000000"/>
          <w:szCs w:val="20"/>
          <w:lang w:val="en-GB"/>
        </w:rPr>
        <w:t>different positions of participants at the outset</w:t>
      </w:r>
      <w:r>
        <w:rPr>
          <w:rFonts w:cs="Calibri"/>
          <w:color w:val="000000"/>
          <w:szCs w:val="20"/>
          <w:lang w:val="en-GB"/>
        </w:rPr>
        <w:t xml:space="preserve"> to identify common ground.</w:t>
      </w:r>
    </w:p>
    <w:p w14:paraId="4FAEA456" w14:textId="77777777" w:rsidR="00373FD7" w:rsidRDefault="00373FD7" w:rsidP="00373FD7">
      <w:pPr>
        <w:pStyle w:val="Heading2"/>
      </w:pPr>
      <w:r>
        <w:t>Possible GAC input</w:t>
      </w:r>
    </w:p>
    <w:p w14:paraId="79E36815" w14:textId="77777777" w:rsidR="00373FD7" w:rsidRDefault="00373FD7" w:rsidP="00373FD7">
      <w:pPr>
        <w:widowControl w:val="0"/>
        <w:autoSpaceDE w:val="0"/>
        <w:autoSpaceDN w:val="0"/>
        <w:adjustRightInd w:val="0"/>
        <w:spacing w:after="200" w:line="276" w:lineRule="auto"/>
        <w:ind w:right="545"/>
        <w:jc w:val="both"/>
        <w:rPr>
          <w:rFonts w:eastAsia="Calibri" w:cs="Century Gothic"/>
          <w:sz w:val="20"/>
          <w:szCs w:val="20"/>
          <w:lang w:eastAsia="en-AU"/>
        </w:rPr>
      </w:pPr>
      <w:r>
        <w:rPr>
          <w:rFonts w:eastAsia="Calibri" w:cs="Century Gothic"/>
          <w:sz w:val="20"/>
          <w:szCs w:val="20"/>
          <w:lang w:eastAsia="en-AU"/>
        </w:rPr>
        <w:t>It is not yet clear whether other SOs/ACs will have a formal opportunity to provide comments on the PDP 3.0 paper. However, the GAC could use the opportunity of its meeting with GNSO Council at ICANN 62 to pursue the following suggested talking points:</w:t>
      </w:r>
    </w:p>
    <w:p w14:paraId="241CDC9A"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GAC members see the paper as both timely and helpful.</w:t>
      </w:r>
    </w:p>
    <w:p w14:paraId="0247B3E0"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Given interdependencies across ICANN work, it would be helpful for discussion of the issues raised in the paper to go beyond just GNSO member.</w:t>
      </w:r>
    </w:p>
    <w:p w14:paraId="13CC4722"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The GAC remains committed to involvement in PDPs to the extent that public policy issues are being dealt with.</w:t>
      </w:r>
    </w:p>
    <w:p w14:paraId="1ED1A405"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A policy process that is determined by, in effect, anyone who volunteers and/or turns up to calls/meetings, is always going to be problematic for getting relevant expertise, a focus on problem-solving and simple project management, especially as the subject matter becomes more complex.</w:t>
      </w:r>
    </w:p>
    <w:p w14:paraId="6B8E14ED" w14:textId="77777777" w:rsidR="00373FD7" w:rsidRDefault="00373FD7" w:rsidP="00A5021B">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Organising PDP Working Groups on the CCWG model, with designated members from relevant SOs/ACs and others participating as individuals, would encourage: (a) improved accountability, efficiency and transparency; (b) a genuine community-wide perspective within PDPs; and (c) better and more informed GAC engagement with PDPs.</w:t>
      </w:r>
    </w:p>
    <w:p w14:paraId="44C5C261" w14:textId="77777777" w:rsidR="00373FD7" w:rsidRPr="00DD6D45" w:rsidRDefault="00373FD7" w:rsidP="00A5021B">
      <w:pPr>
        <w:pStyle w:val="ListParagraph"/>
        <w:widowControl w:val="0"/>
        <w:numPr>
          <w:ilvl w:val="0"/>
          <w:numId w:val="8"/>
        </w:numPr>
        <w:autoSpaceDE w:val="0"/>
        <w:autoSpaceDN w:val="0"/>
        <w:adjustRightInd w:val="0"/>
        <w:ind w:right="545"/>
        <w:rPr>
          <w:rFonts w:cs="Century Gothic"/>
          <w:szCs w:val="20"/>
          <w:lang w:eastAsia="en-AU"/>
        </w:rPr>
      </w:pPr>
      <w:r>
        <w:rPr>
          <w:rFonts w:cs="Century Gothic"/>
          <w:szCs w:val="20"/>
          <w:lang w:eastAsia="en-AU"/>
        </w:rPr>
        <w:t>The measures proposed in the paper for better training of, and resources for, WG leaders and participants are helpful and sensible, and could build on the very good support already provided by GNSO staff.</w:t>
      </w:r>
    </w:p>
    <w:p w14:paraId="71BEEDDC" w14:textId="77777777" w:rsidR="00373FD7" w:rsidRDefault="00373FD7" w:rsidP="00373FD7">
      <w:pPr>
        <w:widowControl w:val="0"/>
        <w:autoSpaceDE w:val="0"/>
        <w:autoSpaceDN w:val="0"/>
        <w:adjustRightInd w:val="0"/>
        <w:spacing w:after="200" w:line="276" w:lineRule="auto"/>
        <w:ind w:right="545"/>
        <w:jc w:val="both"/>
        <w:rPr>
          <w:rFonts w:eastAsia="Calibri"/>
          <w:sz w:val="20"/>
          <w:szCs w:val="22"/>
        </w:rPr>
      </w:pPr>
    </w:p>
    <w:p w14:paraId="44B7FCF8" w14:textId="77777777" w:rsidR="00373FD7" w:rsidRDefault="00373FD7" w:rsidP="00373FD7">
      <w:pPr>
        <w:pStyle w:val="Heading2"/>
      </w:pPr>
      <w:r>
        <w:lastRenderedPageBreak/>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3FD7" w:rsidRPr="003F43E3" w14:paraId="7DE31E75" w14:textId="77777777" w:rsidTr="00F755F2">
        <w:tc>
          <w:tcPr>
            <w:tcW w:w="3261" w:type="dxa"/>
            <w:vAlign w:val="center"/>
          </w:tcPr>
          <w:p w14:paraId="61708D3C" w14:textId="77777777" w:rsidR="00373FD7" w:rsidRPr="003F43E3" w:rsidRDefault="00373FD7" w:rsidP="00F755F2">
            <w:pPr>
              <w:ind w:right="-132"/>
              <w:rPr>
                <w:b/>
                <w:sz w:val="20"/>
                <w:szCs w:val="20"/>
              </w:rPr>
            </w:pPr>
            <w:r w:rsidRPr="003F43E3">
              <w:rPr>
                <w:b/>
                <w:sz w:val="20"/>
                <w:szCs w:val="20"/>
              </w:rPr>
              <w:t>Title</w:t>
            </w:r>
          </w:p>
        </w:tc>
        <w:tc>
          <w:tcPr>
            <w:tcW w:w="5811" w:type="dxa"/>
            <w:vAlign w:val="center"/>
          </w:tcPr>
          <w:p w14:paraId="35E71A27" w14:textId="77777777" w:rsidR="00373FD7" w:rsidRPr="00EA3A02" w:rsidRDefault="00373FD7" w:rsidP="00F755F2">
            <w:pPr>
              <w:ind w:right="545"/>
              <w:rPr>
                <w:sz w:val="20"/>
                <w:szCs w:val="20"/>
              </w:rPr>
            </w:pPr>
            <w:r>
              <w:rPr>
                <w:sz w:val="20"/>
                <w:szCs w:val="20"/>
              </w:rPr>
              <w:t>GNSO PDP 3.0</w:t>
            </w:r>
          </w:p>
        </w:tc>
      </w:tr>
      <w:tr w:rsidR="00373FD7" w:rsidRPr="003F43E3" w14:paraId="115550A3" w14:textId="77777777" w:rsidTr="00F755F2">
        <w:tc>
          <w:tcPr>
            <w:tcW w:w="3261" w:type="dxa"/>
            <w:vAlign w:val="center"/>
          </w:tcPr>
          <w:p w14:paraId="0D147BF9" w14:textId="77777777" w:rsidR="00373FD7" w:rsidRPr="003F43E3" w:rsidRDefault="00373FD7" w:rsidP="00F755F2">
            <w:pPr>
              <w:ind w:right="-132"/>
              <w:rPr>
                <w:b/>
                <w:sz w:val="20"/>
                <w:szCs w:val="20"/>
              </w:rPr>
            </w:pPr>
            <w:r w:rsidRPr="003F43E3">
              <w:rPr>
                <w:b/>
                <w:sz w:val="20"/>
                <w:szCs w:val="20"/>
              </w:rPr>
              <w:t>Distribution</w:t>
            </w:r>
          </w:p>
        </w:tc>
        <w:tc>
          <w:tcPr>
            <w:tcW w:w="5811" w:type="dxa"/>
            <w:vAlign w:val="center"/>
          </w:tcPr>
          <w:p w14:paraId="65E4B088" w14:textId="77777777" w:rsidR="00373FD7" w:rsidRPr="003F43E3" w:rsidRDefault="00373FD7" w:rsidP="00F755F2">
            <w:pPr>
              <w:ind w:right="545"/>
              <w:rPr>
                <w:sz w:val="20"/>
                <w:szCs w:val="20"/>
              </w:rPr>
            </w:pPr>
            <w:r>
              <w:rPr>
                <w:sz w:val="20"/>
                <w:szCs w:val="20"/>
              </w:rPr>
              <w:t>GAC Members</w:t>
            </w:r>
          </w:p>
        </w:tc>
      </w:tr>
      <w:tr w:rsidR="00373FD7" w:rsidRPr="003F43E3" w14:paraId="3D4DA103" w14:textId="77777777" w:rsidTr="00F755F2">
        <w:tc>
          <w:tcPr>
            <w:tcW w:w="3261" w:type="dxa"/>
            <w:vAlign w:val="center"/>
          </w:tcPr>
          <w:p w14:paraId="11034107" w14:textId="77777777" w:rsidR="00373FD7" w:rsidRPr="003F43E3" w:rsidRDefault="00373FD7" w:rsidP="00F755F2">
            <w:pPr>
              <w:ind w:right="-132"/>
              <w:rPr>
                <w:b/>
                <w:sz w:val="20"/>
                <w:szCs w:val="20"/>
              </w:rPr>
            </w:pPr>
            <w:r w:rsidRPr="003F43E3">
              <w:rPr>
                <w:b/>
                <w:sz w:val="20"/>
                <w:szCs w:val="20"/>
              </w:rPr>
              <w:t>Distribution Date</w:t>
            </w:r>
          </w:p>
        </w:tc>
        <w:tc>
          <w:tcPr>
            <w:tcW w:w="5811" w:type="dxa"/>
            <w:vAlign w:val="center"/>
          </w:tcPr>
          <w:p w14:paraId="44E26BC8" w14:textId="77777777" w:rsidR="00373FD7" w:rsidRPr="003F43E3" w:rsidRDefault="00373FD7" w:rsidP="00F755F2">
            <w:pPr>
              <w:ind w:right="545"/>
              <w:rPr>
                <w:sz w:val="20"/>
                <w:szCs w:val="20"/>
              </w:rPr>
            </w:pPr>
            <w:r>
              <w:rPr>
                <w:sz w:val="20"/>
                <w:szCs w:val="20"/>
              </w:rPr>
              <w:t>25 May 2018</w:t>
            </w:r>
          </w:p>
        </w:tc>
      </w:tr>
    </w:tbl>
    <w:p w14:paraId="0BD66522" w14:textId="3AF272B6" w:rsidR="002D63C1" w:rsidRDefault="002D63C1" w:rsidP="002D63C1">
      <w:pPr>
        <w:pStyle w:val="BodyText"/>
      </w:pPr>
    </w:p>
    <w:p w14:paraId="02279427" w14:textId="436B3C16" w:rsidR="002D63C1" w:rsidRDefault="002D63C1" w:rsidP="002D63C1">
      <w:pPr>
        <w:pStyle w:val="BodyText"/>
      </w:pPr>
    </w:p>
    <w:p w14:paraId="03ED0060" w14:textId="363407F7" w:rsidR="002D63C1" w:rsidRDefault="002D63C1" w:rsidP="002D63C1">
      <w:pPr>
        <w:pStyle w:val="BodyText"/>
      </w:pPr>
    </w:p>
    <w:p w14:paraId="05226534" w14:textId="13912089" w:rsidR="002D63C1" w:rsidRDefault="002D63C1" w:rsidP="002D63C1">
      <w:pPr>
        <w:pStyle w:val="BodyText"/>
      </w:pPr>
    </w:p>
    <w:p w14:paraId="4199D46D" w14:textId="45773D54" w:rsidR="002D63C1" w:rsidRDefault="002D63C1" w:rsidP="002D63C1">
      <w:pPr>
        <w:pStyle w:val="BodyText"/>
      </w:pPr>
    </w:p>
    <w:p w14:paraId="0A78904B" w14:textId="4E443961" w:rsidR="002D63C1" w:rsidRDefault="002D63C1" w:rsidP="002D63C1">
      <w:pPr>
        <w:pStyle w:val="BodyText"/>
      </w:pPr>
    </w:p>
    <w:p w14:paraId="2A5A178E" w14:textId="5D4669D7" w:rsidR="002D63C1" w:rsidRDefault="002D63C1" w:rsidP="002D63C1">
      <w:pPr>
        <w:pStyle w:val="BodyText"/>
      </w:pPr>
    </w:p>
    <w:p w14:paraId="71575357" w14:textId="3E252292" w:rsidR="002D63C1" w:rsidRDefault="002D63C1" w:rsidP="002D63C1">
      <w:pPr>
        <w:pStyle w:val="BodyText"/>
      </w:pPr>
    </w:p>
    <w:p w14:paraId="31AC1F85" w14:textId="3341FB0C" w:rsidR="002D63C1" w:rsidRDefault="002D63C1" w:rsidP="002D63C1">
      <w:pPr>
        <w:pStyle w:val="BodyText"/>
      </w:pPr>
    </w:p>
    <w:p w14:paraId="0548CB03" w14:textId="54A0E8C9" w:rsidR="002D63C1" w:rsidRDefault="002D63C1" w:rsidP="002D63C1">
      <w:pPr>
        <w:pStyle w:val="BodyText"/>
      </w:pPr>
    </w:p>
    <w:p w14:paraId="3C0F57CA" w14:textId="33A7A205" w:rsidR="002D63C1" w:rsidRDefault="002D63C1" w:rsidP="002D63C1">
      <w:pPr>
        <w:pStyle w:val="BodyText"/>
      </w:pPr>
    </w:p>
    <w:p w14:paraId="40FF7827" w14:textId="23B13DF2" w:rsidR="002D63C1" w:rsidRDefault="002D63C1" w:rsidP="002D63C1">
      <w:pPr>
        <w:pStyle w:val="BodyText"/>
      </w:pPr>
    </w:p>
    <w:p w14:paraId="20E7F43E" w14:textId="315CC61B" w:rsidR="002D63C1" w:rsidRPr="002D63C1" w:rsidRDefault="002D63C1" w:rsidP="002D63C1">
      <w:pPr>
        <w:pStyle w:val="BodyText"/>
      </w:pPr>
    </w:p>
    <w:sectPr w:rsidR="002D63C1" w:rsidRPr="002D63C1"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FBFB" w14:textId="77777777" w:rsidR="00E120D2" w:rsidRDefault="00E120D2" w:rsidP="00A24449">
      <w:r>
        <w:separator/>
      </w:r>
    </w:p>
  </w:endnote>
  <w:endnote w:type="continuationSeparator" w:id="0">
    <w:p w14:paraId="1EF82A11" w14:textId="77777777" w:rsidR="00E120D2" w:rsidRDefault="00E120D2"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BCDB" w14:textId="77777777" w:rsidR="005E2480" w:rsidRDefault="005E2480" w:rsidP="002276FD">
    <w:pPr>
      <w:pStyle w:val="Footer"/>
      <w:ind w:left="-567" w:right="261"/>
    </w:pPr>
  </w:p>
  <w:p w14:paraId="230FF035" w14:textId="169A19D2" w:rsidR="005E2480" w:rsidRPr="00B026C8" w:rsidRDefault="005E2480" w:rsidP="00F85F5F">
    <w:pPr>
      <w:pBdr>
        <w:top w:val="single" w:sz="18" w:space="1" w:color="1F497D"/>
      </w:pBdr>
      <w:spacing w:before="240"/>
      <w:ind w:right="545"/>
      <w:rPr>
        <w:color w:val="00408E"/>
      </w:rPr>
    </w:pPr>
    <w:r>
      <w:rPr>
        <w:color w:val="00408E"/>
        <w:sz w:val="16"/>
        <w:szCs w:val="16"/>
      </w:rPr>
      <w:tab/>
      <w:t xml:space="preserve">                                                                                                                              </w:t>
    </w:r>
    <w:r w:rsidR="00F85F5F">
      <w:rPr>
        <w:color w:val="00408E"/>
        <w:sz w:val="16"/>
        <w:szCs w:val="16"/>
      </w:rPr>
      <w:tab/>
    </w:r>
    <w:r w:rsidR="00F85F5F">
      <w:rPr>
        <w:color w:val="00408E"/>
        <w:sz w:val="16"/>
        <w:szCs w:val="16"/>
      </w:rPr>
      <w:tab/>
    </w:r>
    <w:r w:rsidR="00F85F5F">
      <w:rPr>
        <w:color w:val="00408E"/>
        <w:sz w:val="16"/>
        <w:szCs w:val="16"/>
      </w:rPr>
      <w:tab/>
    </w:r>
    <w:r w:rsidRPr="00B026C8">
      <w:rPr>
        <w:color w:val="00408E"/>
        <w:sz w:val="16"/>
        <w:szCs w:val="16"/>
      </w:rPr>
      <w:t xml:space="preserve">Page </w:t>
    </w:r>
    <w:r w:rsidRPr="00B026C8">
      <w:rPr>
        <w:color w:val="00408E"/>
        <w:sz w:val="16"/>
        <w:szCs w:val="16"/>
      </w:rPr>
      <w:fldChar w:fldCharType="begin"/>
    </w:r>
    <w:r w:rsidRPr="00B026C8">
      <w:rPr>
        <w:color w:val="00408E"/>
        <w:sz w:val="16"/>
        <w:szCs w:val="16"/>
      </w:rPr>
      <w:instrText xml:space="preserve"> PAGE </w:instrText>
    </w:r>
    <w:r w:rsidRPr="00B026C8">
      <w:rPr>
        <w:color w:val="00408E"/>
        <w:sz w:val="16"/>
        <w:szCs w:val="16"/>
      </w:rPr>
      <w:fldChar w:fldCharType="separate"/>
    </w:r>
    <w:r w:rsidR="00F85F5F">
      <w:rPr>
        <w:noProof/>
        <w:color w:val="00408E"/>
        <w:sz w:val="16"/>
        <w:szCs w:val="16"/>
      </w:rPr>
      <w:t>3</w:t>
    </w:r>
    <w:r w:rsidRPr="00B026C8">
      <w:rPr>
        <w:color w:val="00408E"/>
        <w:sz w:val="16"/>
        <w:szCs w:val="16"/>
      </w:rPr>
      <w:fldChar w:fldCharType="end"/>
    </w:r>
    <w:r w:rsidRPr="00B026C8">
      <w:rPr>
        <w:color w:val="00408E"/>
        <w:sz w:val="16"/>
        <w:szCs w:val="16"/>
      </w:rPr>
      <w:t xml:space="preserve"> of </w:t>
    </w:r>
    <w:r w:rsidRPr="00B026C8">
      <w:rPr>
        <w:color w:val="00408E"/>
        <w:sz w:val="16"/>
        <w:szCs w:val="16"/>
      </w:rPr>
      <w:fldChar w:fldCharType="begin"/>
    </w:r>
    <w:r w:rsidRPr="00B026C8">
      <w:rPr>
        <w:color w:val="00408E"/>
        <w:sz w:val="16"/>
        <w:szCs w:val="16"/>
      </w:rPr>
      <w:instrText xml:space="preserve"> NUMPAGES  </w:instrText>
    </w:r>
    <w:r w:rsidRPr="00B026C8">
      <w:rPr>
        <w:color w:val="00408E"/>
        <w:sz w:val="16"/>
        <w:szCs w:val="16"/>
      </w:rPr>
      <w:fldChar w:fldCharType="separate"/>
    </w:r>
    <w:r w:rsidR="00F85F5F">
      <w:rPr>
        <w:noProof/>
        <w:color w:val="00408E"/>
        <w:sz w:val="16"/>
        <w:szCs w:val="16"/>
      </w:rPr>
      <w:t>3</w:t>
    </w:r>
    <w:r w:rsidRPr="00B026C8">
      <w:rPr>
        <w:color w:val="00408E"/>
        <w:sz w:val="16"/>
        <w:szCs w:val="16"/>
      </w:rPr>
      <w:fldChar w:fldCharType="end"/>
    </w:r>
  </w:p>
  <w:p w14:paraId="357EE225" w14:textId="77777777" w:rsidR="005E2480" w:rsidRPr="000C0FD7" w:rsidRDefault="005E2480"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CF7D" w14:textId="77777777" w:rsidR="005E2480" w:rsidRPr="00C2562C" w:rsidRDefault="005E2480" w:rsidP="00740F60">
    <w:pPr>
      <w:pBdr>
        <w:top w:val="single" w:sz="18" w:space="1" w:color="1F497D"/>
      </w:pBdr>
      <w:spacing w:before="240"/>
      <w:ind w:right="544"/>
      <w:rPr>
        <w:color w:val="00408E"/>
        <w:sz w:val="2"/>
        <w:szCs w:val="2"/>
      </w:rPr>
    </w:pPr>
  </w:p>
  <w:p w14:paraId="399DE240" w14:textId="77777777" w:rsidR="005E2480" w:rsidRPr="00B026C8" w:rsidRDefault="005E2480" w:rsidP="00740F60">
    <w:pPr>
      <w:pStyle w:val="NoSpacing"/>
      <w:ind w:right="544"/>
      <w:jc w:val="right"/>
      <w:rPr>
        <w:sz w:val="16"/>
        <w:szCs w:val="16"/>
      </w:rPr>
    </w:pPr>
    <w:r w:rsidRPr="00B026C8">
      <w:rPr>
        <w:sz w:val="16"/>
        <w:szCs w:val="16"/>
      </w:rPr>
      <w:t xml:space="preserve">203 Drummond Street, Carlton VIC 3053 </w:t>
    </w:r>
  </w:p>
  <w:p w14:paraId="78FD8431" w14:textId="77777777" w:rsidR="005E2480" w:rsidRPr="00B026C8" w:rsidRDefault="005E2480" w:rsidP="00740F60">
    <w:pPr>
      <w:pStyle w:val="NoSpacing"/>
      <w:ind w:right="544"/>
      <w:jc w:val="right"/>
      <w:rPr>
        <w:sz w:val="16"/>
        <w:szCs w:val="16"/>
      </w:rPr>
    </w:pPr>
    <w:r w:rsidRPr="00B026C8">
      <w:rPr>
        <w:sz w:val="16"/>
        <w:szCs w:val="16"/>
      </w:rPr>
      <w:t>03 9650 7222</w:t>
    </w:r>
  </w:p>
  <w:p w14:paraId="30C54EED" w14:textId="77777777" w:rsidR="005E2480" w:rsidRPr="00B026C8" w:rsidRDefault="005E2480" w:rsidP="00740F60">
    <w:pPr>
      <w:pStyle w:val="NoSpacing"/>
      <w:ind w:right="544"/>
      <w:jc w:val="right"/>
      <w:rPr>
        <w:sz w:val="16"/>
        <w:szCs w:val="16"/>
      </w:rPr>
    </w:pPr>
    <w:r w:rsidRPr="00B026C8">
      <w:rPr>
        <w:sz w:val="16"/>
        <w:szCs w:val="16"/>
      </w:rPr>
      <w:t xml:space="preserve">www.acig.com.au </w:t>
    </w:r>
  </w:p>
  <w:p w14:paraId="1C71AF25" w14:textId="77777777" w:rsidR="005E2480" w:rsidRDefault="005E2480"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D537" w14:textId="77777777" w:rsidR="00E120D2" w:rsidRDefault="00E120D2" w:rsidP="00A24449">
      <w:r>
        <w:separator/>
      </w:r>
    </w:p>
  </w:footnote>
  <w:footnote w:type="continuationSeparator" w:id="0">
    <w:p w14:paraId="56CB5507" w14:textId="77777777" w:rsidR="00E120D2" w:rsidRDefault="00E120D2"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ABE2" w14:textId="77777777" w:rsidR="005E2480" w:rsidRDefault="005E2480" w:rsidP="002276FD">
    <w:pPr>
      <w:pStyle w:val="Header"/>
      <w:tabs>
        <w:tab w:val="clear" w:pos="4680"/>
        <w:tab w:val="clear" w:pos="9360"/>
      </w:tabs>
      <w:ind w:left="7920" w:right="-306" w:firstLine="444"/>
    </w:pPr>
    <w:r>
      <w:rPr>
        <w:noProof/>
        <w:lang w:val="en-US"/>
      </w:rPr>
      <w:drawing>
        <wp:inline distT="0" distB="0" distL="0" distR="0" wp14:anchorId="74B5324F" wp14:editId="6657EE05">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US"/>
      </w:rPr>
      <mc:AlternateContent>
        <mc:Choice Requires="wps">
          <w:drawing>
            <wp:anchor distT="0" distB="0" distL="114300" distR="114300" simplePos="0" relativeHeight="251657728" behindDoc="1" locked="0" layoutInCell="1" allowOverlap="1" wp14:anchorId="56531041" wp14:editId="4BA370AB">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7769CE" w14:textId="77777777" w:rsidR="005E2480" w:rsidRPr="00A12C22" w:rsidRDefault="005E2480"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041"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37769CE" w14:textId="77777777" w:rsidR="005E2480" w:rsidRPr="00A12C22" w:rsidRDefault="005E2480"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AD20" w14:textId="77777777" w:rsidR="005E2480" w:rsidRDefault="005E2480" w:rsidP="00C2562C">
    <w:pPr>
      <w:pStyle w:val="Header"/>
      <w:tabs>
        <w:tab w:val="clear" w:pos="9360"/>
      </w:tabs>
      <w:ind w:left="-851"/>
      <w:jc w:val="center"/>
    </w:pPr>
    <w:r>
      <w:rPr>
        <w:noProof/>
        <w:lang w:val="en-US"/>
      </w:rPr>
      <w:drawing>
        <wp:inline distT="0" distB="0" distL="0" distR="0" wp14:anchorId="58262EE7" wp14:editId="4BE24B81">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6580FA1"/>
    <w:multiLevelType w:val="multilevel"/>
    <w:tmpl w:val="6E7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83D08"/>
    <w:multiLevelType w:val="hybridMultilevel"/>
    <w:tmpl w:val="45D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7B83"/>
    <w:multiLevelType w:val="hybridMultilevel"/>
    <w:tmpl w:val="3A704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782F"/>
    <w:multiLevelType w:val="hybridMultilevel"/>
    <w:tmpl w:val="F5D44E6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E13E7"/>
    <w:multiLevelType w:val="hybridMultilevel"/>
    <w:tmpl w:val="4D96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2775"/>
    <w:multiLevelType w:val="hybridMultilevel"/>
    <w:tmpl w:val="C03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E1DCB"/>
    <w:multiLevelType w:val="hybridMultilevel"/>
    <w:tmpl w:val="3B00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635FF"/>
    <w:multiLevelType w:val="hybridMultilevel"/>
    <w:tmpl w:val="6456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A6D33"/>
    <w:multiLevelType w:val="hybridMultilevel"/>
    <w:tmpl w:val="2296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4" w15:restartNumberingAfterBreak="0">
    <w:nsid w:val="79546BFA"/>
    <w:multiLevelType w:val="hybridMultilevel"/>
    <w:tmpl w:val="490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0E51"/>
    <w:multiLevelType w:val="hybridMultilevel"/>
    <w:tmpl w:val="B5F873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9"/>
  </w:num>
  <w:num w:numId="6">
    <w:abstractNumId w:val="15"/>
  </w:num>
  <w:num w:numId="7">
    <w:abstractNumId w:val="11"/>
  </w:num>
  <w:num w:numId="8">
    <w:abstractNumId w:val="14"/>
  </w:num>
  <w:num w:numId="9">
    <w:abstractNumId w:val="6"/>
  </w:num>
  <w:num w:numId="10">
    <w:abstractNumId w:val="8"/>
  </w:num>
  <w:num w:numId="11">
    <w:abstractNumId w:val="3"/>
  </w:num>
  <w:num w:numId="12">
    <w:abstractNumId w:val="10"/>
  </w:num>
  <w:num w:numId="13">
    <w:abstractNumId w:val="12"/>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B6"/>
    <w:rsid w:val="0001582D"/>
    <w:rsid w:val="00017DDB"/>
    <w:rsid w:val="00020EA8"/>
    <w:rsid w:val="00023512"/>
    <w:rsid w:val="0002714F"/>
    <w:rsid w:val="000328A2"/>
    <w:rsid w:val="00076811"/>
    <w:rsid w:val="00083BC8"/>
    <w:rsid w:val="000964B7"/>
    <w:rsid w:val="000B4BF2"/>
    <w:rsid w:val="000C0FD7"/>
    <w:rsid w:val="000C5167"/>
    <w:rsid w:val="000C6B2E"/>
    <w:rsid w:val="00124BEE"/>
    <w:rsid w:val="00127856"/>
    <w:rsid w:val="001577F4"/>
    <w:rsid w:val="0016195D"/>
    <w:rsid w:val="00181EFF"/>
    <w:rsid w:val="001A63D6"/>
    <w:rsid w:val="001A7608"/>
    <w:rsid w:val="001B2ADD"/>
    <w:rsid w:val="001B337F"/>
    <w:rsid w:val="001C3B09"/>
    <w:rsid w:val="001D20DB"/>
    <w:rsid w:val="002110FA"/>
    <w:rsid w:val="00212B75"/>
    <w:rsid w:val="00215C62"/>
    <w:rsid w:val="002276FD"/>
    <w:rsid w:val="00250279"/>
    <w:rsid w:val="00273354"/>
    <w:rsid w:val="002A35B2"/>
    <w:rsid w:val="002C0BDE"/>
    <w:rsid w:val="002D63C1"/>
    <w:rsid w:val="0030182E"/>
    <w:rsid w:val="00327A1A"/>
    <w:rsid w:val="003308BB"/>
    <w:rsid w:val="003401B4"/>
    <w:rsid w:val="003643C4"/>
    <w:rsid w:val="003644DC"/>
    <w:rsid w:val="00364F2E"/>
    <w:rsid w:val="00373FD7"/>
    <w:rsid w:val="003961C1"/>
    <w:rsid w:val="003D3781"/>
    <w:rsid w:val="003D7A8D"/>
    <w:rsid w:val="003E134F"/>
    <w:rsid w:val="003E540D"/>
    <w:rsid w:val="00400344"/>
    <w:rsid w:val="00406CEE"/>
    <w:rsid w:val="00412A64"/>
    <w:rsid w:val="00416093"/>
    <w:rsid w:val="004256A5"/>
    <w:rsid w:val="00447B91"/>
    <w:rsid w:val="00454CBD"/>
    <w:rsid w:val="00466EC1"/>
    <w:rsid w:val="00482064"/>
    <w:rsid w:val="00482610"/>
    <w:rsid w:val="004837E2"/>
    <w:rsid w:val="00492E56"/>
    <w:rsid w:val="004A58B8"/>
    <w:rsid w:val="004C66BF"/>
    <w:rsid w:val="004D7546"/>
    <w:rsid w:val="004E22C7"/>
    <w:rsid w:val="004E2498"/>
    <w:rsid w:val="0051347B"/>
    <w:rsid w:val="0052213A"/>
    <w:rsid w:val="00570478"/>
    <w:rsid w:val="005736A1"/>
    <w:rsid w:val="00577F86"/>
    <w:rsid w:val="00580A87"/>
    <w:rsid w:val="00593EF7"/>
    <w:rsid w:val="005C169C"/>
    <w:rsid w:val="005E2480"/>
    <w:rsid w:val="005E2917"/>
    <w:rsid w:val="005E361F"/>
    <w:rsid w:val="00624AEC"/>
    <w:rsid w:val="00652018"/>
    <w:rsid w:val="006632C8"/>
    <w:rsid w:val="00671F6E"/>
    <w:rsid w:val="006735F6"/>
    <w:rsid w:val="0067792E"/>
    <w:rsid w:val="00683C6C"/>
    <w:rsid w:val="006C3931"/>
    <w:rsid w:val="006E3E83"/>
    <w:rsid w:val="00700CF9"/>
    <w:rsid w:val="00722431"/>
    <w:rsid w:val="0072423D"/>
    <w:rsid w:val="0072454B"/>
    <w:rsid w:val="00731C3E"/>
    <w:rsid w:val="00734DE5"/>
    <w:rsid w:val="00736DAD"/>
    <w:rsid w:val="00740F60"/>
    <w:rsid w:val="007670C2"/>
    <w:rsid w:val="00767678"/>
    <w:rsid w:val="00790818"/>
    <w:rsid w:val="007A174E"/>
    <w:rsid w:val="007B4236"/>
    <w:rsid w:val="007B5468"/>
    <w:rsid w:val="007C4AA0"/>
    <w:rsid w:val="007D04DE"/>
    <w:rsid w:val="007D32B7"/>
    <w:rsid w:val="007E309B"/>
    <w:rsid w:val="007F31B6"/>
    <w:rsid w:val="00815A76"/>
    <w:rsid w:val="00817EAC"/>
    <w:rsid w:val="008246F4"/>
    <w:rsid w:val="00827F77"/>
    <w:rsid w:val="00854588"/>
    <w:rsid w:val="008822A3"/>
    <w:rsid w:val="00882354"/>
    <w:rsid w:val="008B2849"/>
    <w:rsid w:val="008C4F95"/>
    <w:rsid w:val="008F3B68"/>
    <w:rsid w:val="009123B6"/>
    <w:rsid w:val="00982B73"/>
    <w:rsid w:val="00984323"/>
    <w:rsid w:val="00984595"/>
    <w:rsid w:val="009876AD"/>
    <w:rsid w:val="0099631A"/>
    <w:rsid w:val="009B375D"/>
    <w:rsid w:val="009C77A8"/>
    <w:rsid w:val="00A07882"/>
    <w:rsid w:val="00A12C22"/>
    <w:rsid w:val="00A13403"/>
    <w:rsid w:val="00A24449"/>
    <w:rsid w:val="00A32E85"/>
    <w:rsid w:val="00A40DB0"/>
    <w:rsid w:val="00A5021B"/>
    <w:rsid w:val="00A660EB"/>
    <w:rsid w:val="00A86B36"/>
    <w:rsid w:val="00A87101"/>
    <w:rsid w:val="00AA0126"/>
    <w:rsid w:val="00AA7441"/>
    <w:rsid w:val="00AB62C3"/>
    <w:rsid w:val="00AC5490"/>
    <w:rsid w:val="00AC54BB"/>
    <w:rsid w:val="00AD1076"/>
    <w:rsid w:val="00AE263F"/>
    <w:rsid w:val="00AF4D4A"/>
    <w:rsid w:val="00B026C8"/>
    <w:rsid w:val="00B21330"/>
    <w:rsid w:val="00B22FE8"/>
    <w:rsid w:val="00B5189A"/>
    <w:rsid w:val="00B653A7"/>
    <w:rsid w:val="00B72177"/>
    <w:rsid w:val="00B72D49"/>
    <w:rsid w:val="00BA0533"/>
    <w:rsid w:val="00BF23E9"/>
    <w:rsid w:val="00C114D4"/>
    <w:rsid w:val="00C1188D"/>
    <w:rsid w:val="00C144AE"/>
    <w:rsid w:val="00C14EF2"/>
    <w:rsid w:val="00C21952"/>
    <w:rsid w:val="00C2562C"/>
    <w:rsid w:val="00C26F6D"/>
    <w:rsid w:val="00C3454E"/>
    <w:rsid w:val="00C50C2C"/>
    <w:rsid w:val="00C70CD9"/>
    <w:rsid w:val="00C908F7"/>
    <w:rsid w:val="00C9701E"/>
    <w:rsid w:val="00CB7A48"/>
    <w:rsid w:val="00CD0375"/>
    <w:rsid w:val="00CD24AC"/>
    <w:rsid w:val="00CD30A8"/>
    <w:rsid w:val="00CD540A"/>
    <w:rsid w:val="00CD57F8"/>
    <w:rsid w:val="00CD7113"/>
    <w:rsid w:val="00CF0606"/>
    <w:rsid w:val="00CF4236"/>
    <w:rsid w:val="00CF4E9A"/>
    <w:rsid w:val="00D01CBD"/>
    <w:rsid w:val="00D049CB"/>
    <w:rsid w:val="00D07C27"/>
    <w:rsid w:val="00D27857"/>
    <w:rsid w:val="00D41280"/>
    <w:rsid w:val="00D5733E"/>
    <w:rsid w:val="00D57B30"/>
    <w:rsid w:val="00D65E34"/>
    <w:rsid w:val="00D86EA8"/>
    <w:rsid w:val="00D93E66"/>
    <w:rsid w:val="00D9442D"/>
    <w:rsid w:val="00DA436F"/>
    <w:rsid w:val="00DA46B6"/>
    <w:rsid w:val="00DC0423"/>
    <w:rsid w:val="00DE2827"/>
    <w:rsid w:val="00DE621B"/>
    <w:rsid w:val="00DE7351"/>
    <w:rsid w:val="00DF5B00"/>
    <w:rsid w:val="00E016F8"/>
    <w:rsid w:val="00E120D2"/>
    <w:rsid w:val="00E21BC1"/>
    <w:rsid w:val="00E3060B"/>
    <w:rsid w:val="00E366DB"/>
    <w:rsid w:val="00E57BDD"/>
    <w:rsid w:val="00E7196B"/>
    <w:rsid w:val="00E81209"/>
    <w:rsid w:val="00E9134A"/>
    <w:rsid w:val="00EA3A02"/>
    <w:rsid w:val="00EA7FAD"/>
    <w:rsid w:val="00EB1CAA"/>
    <w:rsid w:val="00EC2D85"/>
    <w:rsid w:val="00ED40DF"/>
    <w:rsid w:val="00EF5A3C"/>
    <w:rsid w:val="00F153B6"/>
    <w:rsid w:val="00F21D6A"/>
    <w:rsid w:val="00F4462E"/>
    <w:rsid w:val="00F46F4F"/>
    <w:rsid w:val="00F5058B"/>
    <w:rsid w:val="00F65E75"/>
    <w:rsid w:val="00F73DF4"/>
    <w:rsid w:val="00F85F5F"/>
    <w:rsid w:val="00F96D2C"/>
    <w:rsid w:val="00FD20E3"/>
    <w:rsid w:val="00FE741F"/>
    <w:rsid w:val="00FF47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C8B76"/>
  <w15:docId w15:val="{62513F67-4F1D-4785-BFB0-F89F181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3C"/>
    <w:rPr>
      <w:rFonts w:eastAsiaTheme="minorEastAsia" w:cstheme="minorBid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982B73"/>
    <w:pPr>
      <w:keepNext/>
      <w:keepLines/>
      <w:ind w:right="544"/>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B73"/>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ListParagraph">
    <w:name w:val="List Paragraph"/>
    <w:basedOn w:val="Normal"/>
    <w:uiPriority w:val="34"/>
    <w:qFormat/>
    <w:rsid w:val="00C26F6D"/>
    <w:pPr>
      <w:spacing w:after="200" w:line="276" w:lineRule="auto"/>
      <w:ind w:left="720"/>
      <w:jc w:val="both"/>
    </w:pPr>
    <w:rPr>
      <w:rFonts w:eastAsia="Calibri"/>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F5A3C"/>
  </w:style>
  <w:style w:type="character" w:styleId="Strong">
    <w:name w:val="Strong"/>
    <w:basedOn w:val="DefaultParagraphFont"/>
    <w:uiPriority w:val="22"/>
    <w:qFormat/>
    <w:rsid w:val="00EF5A3C"/>
    <w:rPr>
      <w:b/>
      <w:bCs/>
    </w:rPr>
  </w:style>
  <w:style w:type="character" w:styleId="FollowedHyperlink">
    <w:name w:val="FollowedHyperlink"/>
    <w:basedOn w:val="DefaultParagraphFont"/>
    <w:uiPriority w:val="99"/>
    <w:semiHidden/>
    <w:unhideWhenUsed/>
    <w:rsid w:val="00EF5A3C"/>
    <w:rPr>
      <w:color w:val="954F72" w:themeColor="followedHyperlink"/>
      <w:u w:val="single"/>
    </w:rPr>
  </w:style>
  <w:style w:type="paragraph" w:styleId="HTMLPreformatted">
    <w:name w:val="HTML Preformatted"/>
    <w:basedOn w:val="Normal"/>
    <w:link w:val="HTMLPreformattedCh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AU"/>
    </w:rPr>
  </w:style>
  <w:style w:type="character" w:customStyle="1" w:styleId="HTMLPreformattedChar">
    <w:name w:val="HTML Preformatted Char"/>
    <w:basedOn w:val="DefaultParagraphFont"/>
    <w:link w:val="HTMLPreformatted"/>
    <w:uiPriority w:val="99"/>
    <w:semiHidden/>
    <w:rsid w:val="00767678"/>
    <w:rPr>
      <w:rFonts w:ascii="Courier" w:hAnsi="Courier" w:cs="Courier"/>
      <w:lang w:eastAsia="en-US"/>
    </w:rPr>
  </w:style>
  <w:style w:type="character" w:styleId="UnresolvedMention">
    <w:name w:val="Unresolved Mention"/>
    <w:basedOn w:val="DefaultParagraphFont"/>
    <w:uiPriority w:val="99"/>
    <w:semiHidden/>
    <w:unhideWhenUsed/>
    <w:rsid w:val="00C14EF2"/>
    <w:rPr>
      <w:color w:val="808080"/>
      <w:shd w:val="clear" w:color="auto" w:fill="E6E6E6"/>
    </w:rPr>
  </w:style>
  <w:style w:type="paragraph" w:customStyle="1" w:styleId="p1">
    <w:name w:val="p1"/>
    <w:basedOn w:val="Normal"/>
    <w:rsid w:val="002D63C1"/>
    <w:rPr>
      <w:rFonts w:ascii="Calibri"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Cambria"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mm.icann.org/pipermail/council/attachments/20180511/2435d825/GNSOPDP3.0-8May2018-0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icann.org/pipermail/coun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nso.icann.org/en/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nso.icann.org/en/index.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F6BF-CFAE-E740-9FD6-9A04193B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9284</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Tom Dale</cp:lastModifiedBy>
  <cp:revision>13</cp:revision>
  <cp:lastPrinted>2013-11-27T05:14:00Z</cp:lastPrinted>
  <dcterms:created xsi:type="dcterms:W3CDTF">2018-05-29T06:00:00Z</dcterms:created>
  <dcterms:modified xsi:type="dcterms:W3CDTF">2018-06-13T23:01:00Z</dcterms:modified>
</cp:coreProperties>
</file>